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sz w:val="24"/>
          <w:szCs w:val="24"/>
        </w:rPr>
        <w:t xml:space="preserve">ANEXA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1926/2020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. . . . . . . . . . 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F8" w:rsidRPr="00C02FF8" w:rsidRDefault="00C02FF8" w:rsidP="00C0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F8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C02FF8" w:rsidRDefault="00C02FF8" w:rsidP="00C0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02FF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autorizarea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importul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bunuri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regim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2FF8">
        <w:rPr>
          <w:rFonts w:ascii="Times New Roman" w:hAnsi="Times New Roman" w:cs="Times New Roman"/>
          <w:b/>
          <w:sz w:val="24"/>
          <w:szCs w:val="24"/>
        </w:rPr>
        <w:t xml:space="preserve">de la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plata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taxelor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b/>
          <w:sz w:val="24"/>
          <w:szCs w:val="24"/>
        </w:rPr>
        <w:t xml:space="preserve"> a TVA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FF8">
        <w:rPr>
          <w:rFonts w:ascii="Times New Roman" w:hAnsi="Times New Roman" w:cs="Times New Roman"/>
          <w:sz w:val="24"/>
          <w:szCs w:val="24"/>
        </w:rPr>
        <w:t xml:space="preserve">293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C02FF8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. d) </w:t>
      </w:r>
      <w:proofErr w:type="gramStart"/>
      <w:r w:rsidRPr="00C02FF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FF8">
        <w:rPr>
          <w:rFonts w:ascii="Times New Roman" w:hAnsi="Times New Roman" w:cs="Times New Roman"/>
          <w:sz w:val="24"/>
          <w:szCs w:val="24"/>
        </w:rPr>
        <w:t xml:space="preserve">227/2015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, ale art.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74 din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(CE)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. 1.186/2009 al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din 16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2009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instituire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(UE) 2020/491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din 3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exonerarea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TVA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importuri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mărfurile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COVID-19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solicităm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TVA.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: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reprezint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:</w:t>
      </w:r>
    </w:p>
    <w:p w:rsidR="00C02FF8" w:rsidRPr="00C02FF8" w:rsidRDefault="00C02FF8" w:rsidP="00C02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caritabil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filantropic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;</w:t>
      </w:r>
    </w:p>
    <w:p w:rsidR="00C02FF8" w:rsidRPr="00C02FF8" w:rsidRDefault="00C02FF8" w:rsidP="00C02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restante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contribuții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contribuțiile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eșalonate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reeșalonate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suspendate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;</w:t>
      </w:r>
    </w:p>
    <w:p w:rsidR="00C02FF8" w:rsidRPr="00C02FF8" w:rsidRDefault="00C02FF8" w:rsidP="00C02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deține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evidențe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permit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operațiunilor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TVA;</w:t>
      </w:r>
    </w:p>
    <w:p w:rsidR="00C02FF8" w:rsidRPr="00C02FF8" w:rsidRDefault="00C02FF8" w:rsidP="00C02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FF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TVA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importate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respectată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solicităm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TVA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utilizări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:</w:t>
      </w:r>
    </w:p>
    <w:p w:rsidR="00C02FF8" w:rsidRPr="00C02FF8" w:rsidRDefault="00C02FF8" w:rsidP="00C02F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distribuirea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gratuită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contaminate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a fi contaminate cu COVID-19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COVID-19;</w:t>
      </w:r>
    </w:p>
    <w:p w:rsidR="00C02FF8" w:rsidRPr="00C02FF8" w:rsidRDefault="00C02FF8" w:rsidP="00C02F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FF8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contaminate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a fi contaminate cu COVID-19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rămânând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b/>
          <w:sz w:val="24"/>
          <w:szCs w:val="24"/>
        </w:rPr>
        <w:t>III.</w:t>
      </w:r>
      <w:r w:rsidRPr="00C02FF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C02FF8">
        <w:rPr>
          <w:rFonts w:ascii="Times New Roman" w:hAnsi="Times New Roman" w:cs="Times New Roman"/>
          <w:sz w:val="24"/>
          <w:szCs w:val="24"/>
        </w:rPr>
        <w:t xml:space="preserve">78, 79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80 din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(CE)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FF8">
        <w:rPr>
          <w:rFonts w:ascii="Times New Roman" w:hAnsi="Times New Roman" w:cs="Times New Roman"/>
          <w:sz w:val="24"/>
          <w:szCs w:val="24"/>
        </w:rPr>
        <w:t xml:space="preserve">1.186/2009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55, 56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57 din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Directiva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2009/132/CE, conform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: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TVA nu pot fi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împrumutate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închiriate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contra cost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F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împrumutate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închiriate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TVA,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condiția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FF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conferă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împrumutul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închirierea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TVA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(ă) la data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împrumutului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transferului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recunoscută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îndelungată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TVA,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nu pot fi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împrumutate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închiriate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contra cost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înștiințarea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împrumutate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închiriate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TVA,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condiția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folosească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împrumutul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închirierea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TVA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(ă) la data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împrumutului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transferului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recunoscută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reprezint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admise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TVA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utilizări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informez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sens.</w:t>
      </w:r>
      <w:proofErr w:type="spellEnd"/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rămân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reprezint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transferate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condiția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folosească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respective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conferă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plății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TVA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(ă) la data la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recunoscută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reprezint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scutirile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import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 TVA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FF8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FF8">
        <w:rPr>
          <w:rFonts w:ascii="Times New Roman" w:hAnsi="Times New Roman" w:cs="Times New Roman"/>
          <w:sz w:val="24"/>
          <w:szCs w:val="24"/>
        </w:rPr>
        <w:t xml:space="preserve">ă) la data la care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încep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>.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sz w:val="24"/>
          <w:szCs w:val="24"/>
        </w:rPr>
        <w:tab/>
      </w:r>
    </w:p>
    <w:p w:rsid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F8">
        <w:rPr>
          <w:rFonts w:ascii="Times New Roman" w:hAnsi="Times New Roman" w:cs="Times New Roman"/>
          <w:sz w:val="24"/>
          <w:szCs w:val="24"/>
        </w:rPr>
        <w:t>Reprez</w:t>
      </w:r>
      <w:r>
        <w:rPr>
          <w:rFonts w:ascii="Times New Roman" w:hAnsi="Times New Roman" w:cs="Times New Roman"/>
          <w:sz w:val="24"/>
          <w:szCs w:val="24"/>
        </w:rPr>
        <w:t>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organizaț</w:t>
      </w:r>
      <w:proofErr w:type="gramStart"/>
      <w:r>
        <w:rPr>
          <w:rFonts w:ascii="Times New Roman" w:hAnsi="Times New Roman" w:cs="Times New Roman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8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C02FF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C02FF8">
        <w:rPr>
          <w:rFonts w:ascii="Times New Roman" w:hAnsi="Times New Roman" w:cs="Times New Roman"/>
          <w:sz w:val="24"/>
          <w:szCs w:val="24"/>
        </w:rPr>
        <w:t xml:space="preserve"> </w:t>
      </w:r>
      <w:r w:rsidRPr="00C02FF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02FF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C02FF8">
        <w:rPr>
          <w:rFonts w:ascii="Times New Roman" w:hAnsi="Times New Roman" w:cs="Times New Roman"/>
          <w:sz w:val="24"/>
          <w:szCs w:val="24"/>
        </w:rPr>
        <w:t>)</w:t>
      </w:r>
    </w:p>
    <w:p w:rsidR="00C02FF8" w:rsidRPr="00C02FF8" w:rsidRDefault="00C02FF8" w:rsidP="00C02FF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8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91DFB" w:rsidRPr="00C02FF8" w:rsidRDefault="00491DFB" w:rsidP="00C02F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DFB" w:rsidRPr="00C0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445"/>
    <w:multiLevelType w:val="hybridMultilevel"/>
    <w:tmpl w:val="AAB6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744E2"/>
    <w:multiLevelType w:val="hybridMultilevel"/>
    <w:tmpl w:val="9ADE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0"/>
    <w:rsid w:val="003E5405"/>
    <w:rsid w:val="00491DFB"/>
    <w:rsid w:val="006C7070"/>
    <w:rsid w:val="00C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05"/>
  </w:style>
  <w:style w:type="paragraph" w:styleId="Heading4">
    <w:name w:val="heading 4"/>
    <w:basedOn w:val="Normal"/>
    <w:link w:val="Heading4Char"/>
    <w:uiPriority w:val="9"/>
    <w:qFormat/>
    <w:rsid w:val="00C02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02F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C0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C0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2F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05"/>
  </w:style>
  <w:style w:type="paragraph" w:styleId="Heading4">
    <w:name w:val="heading 4"/>
    <w:basedOn w:val="Normal"/>
    <w:link w:val="Heading4Char"/>
    <w:uiPriority w:val="9"/>
    <w:qFormat/>
    <w:rsid w:val="00C02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02F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C0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C0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2F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2020-05-12T06:40:00Z</dcterms:created>
  <dcterms:modified xsi:type="dcterms:W3CDTF">2020-05-12T06:44:00Z</dcterms:modified>
</cp:coreProperties>
</file>