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F4" w:rsidRPr="00544D02" w:rsidRDefault="002C69F4" w:rsidP="00544D02">
      <w:pPr>
        <w:pStyle w:val="Heading4"/>
        <w:shd w:val="clear" w:color="auto" w:fill="FFFFFF"/>
        <w:spacing w:before="0" w:beforeAutospacing="0" w:after="150" w:afterAutospacing="0" w:line="360" w:lineRule="auto"/>
        <w:jc w:val="center"/>
        <w:rPr>
          <w:rFonts w:ascii="Verdana" w:hAnsi="Verdana"/>
          <w:sz w:val="21"/>
          <w:szCs w:val="26"/>
        </w:rPr>
      </w:pPr>
      <w:r w:rsidRPr="00544D02">
        <w:rPr>
          <w:rFonts w:ascii="Verdana" w:hAnsi="Verdana"/>
          <w:sz w:val="21"/>
          <w:szCs w:val="26"/>
        </w:rPr>
        <w:t>Informaţii de completat în Declaraţia statistică Intrastat</w:t>
      </w:r>
    </w:p>
    <w:tbl>
      <w:tblPr>
        <w:tblW w:w="10575" w:type="dxa"/>
        <w:jc w:val="center"/>
        <w:tblCellMar>
          <w:top w:w="15" w:type="dxa"/>
          <w:left w:w="15" w:type="dxa"/>
          <w:bottom w:w="15" w:type="dxa"/>
          <w:right w:w="15" w:type="dxa"/>
        </w:tblCellMar>
        <w:tblLook w:val="04A0" w:firstRow="1" w:lastRow="0" w:firstColumn="1" w:lastColumn="0" w:noHBand="0" w:noVBand="1"/>
      </w:tblPr>
      <w:tblGrid>
        <w:gridCol w:w="14"/>
        <w:gridCol w:w="2800"/>
        <w:gridCol w:w="7761"/>
      </w:tblGrid>
      <w:tr w:rsidR="002C69F4" w:rsidRPr="00544D02" w:rsidTr="002C69F4">
        <w:trPr>
          <w:trHeight w:val="15"/>
          <w:jc w:val="center"/>
        </w:trPr>
        <w:tc>
          <w:tcPr>
            <w:tcW w:w="0" w:type="auto"/>
            <w:tcMar>
              <w:top w:w="0" w:type="dxa"/>
              <w:left w:w="0" w:type="dxa"/>
              <w:bottom w:w="0" w:type="dxa"/>
              <w:right w:w="0" w:type="dxa"/>
            </w:tcMar>
            <w:vAlign w:val="center"/>
            <w:hideMark/>
          </w:tcPr>
          <w:p w:rsidR="002C69F4" w:rsidRPr="00544D02" w:rsidRDefault="002C69F4" w:rsidP="00544D02">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2C69F4" w:rsidRPr="00544D02" w:rsidRDefault="002C69F4" w:rsidP="00544D02">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2C69F4" w:rsidRPr="00544D02" w:rsidRDefault="002C69F4" w:rsidP="00544D02">
            <w:pPr>
              <w:spacing w:line="360" w:lineRule="auto"/>
              <w:rPr>
                <w:rFonts w:ascii="Verdana" w:hAnsi="Verdana"/>
                <w:sz w:val="21"/>
                <w:szCs w:val="24"/>
              </w:rPr>
            </w:pPr>
          </w:p>
        </w:tc>
      </w:tr>
      <w:tr w:rsidR="002C69F4" w:rsidRPr="00544D02" w:rsidTr="002C69F4">
        <w:trPr>
          <w:trHeight w:val="555"/>
          <w:jc w:val="center"/>
        </w:trPr>
        <w:tc>
          <w:tcPr>
            <w:tcW w:w="0" w:type="auto"/>
            <w:tcMar>
              <w:top w:w="0" w:type="dxa"/>
              <w:left w:w="0" w:type="dxa"/>
              <w:bottom w:w="0" w:type="dxa"/>
              <w:right w:w="0" w:type="dxa"/>
            </w:tcMar>
            <w:vAlign w:val="center"/>
            <w:hideMark/>
          </w:tcPr>
          <w:p w:rsidR="002C69F4" w:rsidRPr="00544D02" w:rsidRDefault="002C69F4" w:rsidP="00544D02">
            <w:pPr>
              <w:spacing w:line="360" w:lineRule="auto"/>
              <w:rPr>
                <w:rFonts w:ascii="Verdana" w:hAnsi="Verdana"/>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Perioada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Se indică luna şi anul de referinţă în care au fost realizate schimburile intra-UE de bunuri, respectiv luna şi anul în care bunurile sunt introduse sau expediate pe/de pe teritoriul României.</w:t>
            </w:r>
          </w:p>
        </w:tc>
      </w:tr>
      <w:tr w:rsidR="002C69F4" w:rsidRPr="00544D02" w:rsidTr="002C69F4">
        <w:trPr>
          <w:trHeight w:val="765"/>
          <w:jc w:val="center"/>
        </w:trPr>
        <w:tc>
          <w:tcPr>
            <w:tcW w:w="0" w:type="auto"/>
            <w:tcMar>
              <w:top w:w="0" w:type="dxa"/>
              <w:left w:w="0" w:type="dxa"/>
              <w:bottom w:w="0" w:type="dxa"/>
              <w:right w:w="0" w:type="dxa"/>
            </w:tcMar>
            <w:vAlign w:val="center"/>
            <w:hideMark/>
          </w:tcPr>
          <w:p w:rsidR="002C69F4" w:rsidRPr="00544D02" w:rsidRDefault="002C69F4" w:rsidP="00544D02">
            <w:pPr>
              <w:spacing w:line="360" w:lineRule="auto"/>
              <w:rPr>
                <w:rFonts w:ascii="Verdana" w:hAnsi="Verdana"/>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Date de identificare pentru furnizorul de informaţii statistice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Se indică informaţii de identificare ale operatorului economic care a realizat schimburi intra-UE de bunuri şi date de contact actualizate ale persoanei responsabile pentru completarea Declaraţiei statistice Intrastat.</w:t>
            </w:r>
          </w:p>
        </w:tc>
      </w:tr>
      <w:tr w:rsidR="002C69F4" w:rsidRPr="00544D02" w:rsidTr="002C69F4">
        <w:trPr>
          <w:trHeight w:val="555"/>
          <w:jc w:val="center"/>
        </w:trPr>
        <w:tc>
          <w:tcPr>
            <w:tcW w:w="0" w:type="auto"/>
            <w:tcMar>
              <w:top w:w="0" w:type="dxa"/>
              <w:left w:w="0" w:type="dxa"/>
              <w:bottom w:w="0" w:type="dxa"/>
              <w:right w:w="0" w:type="dxa"/>
            </w:tcMar>
            <w:vAlign w:val="center"/>
            <w:hideMark/>
          </w:tcPr>
          <w:p w:rsidR="002C69F4" w:rsidRPr="00544D02" w:rsidRDefault="002C69F4" w:rsidP="00544D02">
            <w:pPr>
              <w:spacing w:line="360" w:lineRule="auto"/>
              <w:rPr>
                <w:rFonts w:ascii="Verdana" w:hAnsi="Verdana"/>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Cod de identificare al partenerului comercial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Se indică codul de identificare fiscală al partenerului comercial din Uniunea Europeană către care sunt expediate fizic bunurile. Acest câmp va fi completat numai pentru fluxul export intra-UE.</w:t>
            </w:r>
          </w:p>
        </w:tc>
      </w:tr>
      <w:tr w:rsidR="002C69F4" w:rsidRPr="00544D02" w:rsidTr="002C69F4">
        <w:trPr>
          <w:trHeight w:val="555"/>
          <w:jc w:val="center"/>
        </w:trPr>
        <w:tc>
          <w:tcPr>
            <w:tcW w:w="0" w:type="auto"/>
            <w:tcMar>
              <w:top w:w="0" w:type="dxa"/>
              <w:left w:w="0" w:type="dxa"/>
              <w:bottom w:w="0" w:type="dxa"/>
              <w:right w:w="0" w:type="dxa"/>
            </w:tcMar>
            <w:vAlign w:val="center"/>
            <w:hideMark/>
          </w:tcPr>
          <w:p w:rsidR="002C69F4" w:rsidRPr="00544D02" w:rsidRDefault="002C69F4" w:rsidP="00544D02">
            <w:pPr>
              <w:spacing w:line="360" w:lineRule="auto"/>
              <w:rPr>
                <w:rFonts w:ascii="Verdana" w:hAnsi="Verdana"/>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Date de identificare pentru partea terţă declarantă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Dacă este cazul, se indică informaţii de identificare ale părţii terţe declarante şi date de contact actualizate ale persoanei responsabile pentru completarea Declaraţiei statistice Intrastat.</w:t>
            </w:r>
          </w:p>
        </w:tc>
      </w:tr>
      <w:tr w:rsidR="002C69F4" w:rsidRPr="00544D02" w:rsidTr="002C69F4">
        <w:trPr>
          <w:trHeight w:val="555"/>
          <w:jc w:val="center"/>
        </w:trPr>
        <w:tc>
          <w:tcPr>
            <w:tcW w:w="0" w:type="auto"/>
            <w:tcMar>
              <w:top w:w="0" w:type="dxa"/>
              <w:left w:w="0" w:type="dxa"/>
              <w:bottom w:w="0" w:type="dxa"/>
              <w:right w:w="0" w:type="dxa"/>
            </w:tcMar>
            <w:vAlign w:val="center"/>
            <w:hideMark/>
          </w:tcPr>
          <w:p w:rsidR="002C69F4" w:rsidRPr="00544D02" w:rsidRDefault="002C69F4" w:rsidP="00544D02">
            <w:pPr>
              <w:spacing w:line="360" w:lineRule="auto"/>
              <w:rPr>
                <w:rFonts w:ascii="Verdana" w:hAnsi="Verdana"/>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Introduceri/Expedieri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Se indică fluxul pentru care se întocmeşte Declaraţia statistică Intrastat: Introduceri (import intra-UE) sau Expedieri (export intra-UE).</w:t>
            </w:r>
          </w:p>
        </w:tc>
      </w:tr>
      <w:tr w:rsidR="002C69F4" w:rsidRPr="00544D02" w:rsidTr="002C69F4">
        <w:trPr>
          <w:trHeight w:val="3495"/>
          <w:jc w:val="center"/>
        </w:trPr>
        <w:tc>
          <w:tcPr>
            <w:tcW w:w="0" w:type="auto"/>
            <w:tcMar>
              <w:top w:w="0" w:type="dxa"/>
              <w:left w:w="0" w:type="dxa"/>
              <w:bottom w:w="0" w:type="dxa"/>
              <w:right w:w="0" w:type="dxa"/>
            </w:tcMar>
            <w:vAlign w:val="center"/>
            <w:hideMark/>
          </w:tcPr>
          <w:p w:rsidR="002C69F4" w:rsidRPr="00544D02" w:rsidRDefault="002C69F4" w:rsidP="00544D02">
            <w:pPr>
              <w:spacing w:line="360" w:lineRule="auto"/>
              <w:rPr>
                <w:rFonts w:ascii="Verdana" w:hAnsi="Verdana"/>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Tip declaraţie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 Nouă - în cazul în care Declaraţia statistică Intrastat se transmite pentru prima dată pentru o anumită perioadă de referinţă.</w:t>
            </w:r>
            <w:r w:rsidRPr="00544D02">
              <w:rPr>
                <w:rFonts w:ascii="Verdana" w:hAnsi="Verdana"/>
                <w:sz w:val="21"/>
                <w:szCs w:val="21"/>
              </w:rPr>
              <w:br/>
              <w:t>- Revizuire - în cazul în care au loc corecţii/modificări/adăugări/ştergeri pentru anumite date existente într-o Declaraţie statistică Intrastat deja transmisă. Revizuirea datelor se face prin intervenţia în corpul declaraţiei asupra liniei/liniilor ce trebuie corectate/modificate/adăugate/şterse. Declaraţia statistică Intrastat "Revizuită" conţine toate datele perioadei de referinţă (nu numai linia/liniile revizuită/revizuite) pentru care se retransmite şi va reprezenta declaraţia furnizorului de informaţii statistice Intrastat pentru respectiva perioadă de referinţă (va înlocui în totalitate declaraţia precedentă).</w:t>
            </w:r>
            <w:r w:rsidRPr="00544D02">
              <w:rPr>
                <w:rFonts w:ascii="Verdana" w:hAnsi="Verdana"/>
                <w:sz w:val="21"/>
                <w:szCs w:val="21"/>
              </w:rPr>
              <w:br/>
              <w:t xml:space="preserve">- Nulă - în cazul în care furnizorul de informaţii statistice Intrastat nu realizează schimburi intra-UE de bunuri într-o lună de referinţă trebuie </w:t>
            </w:r>
            <w:r w:rsidRPr="00544D02">
              <w:rPr>
                <w:rFonts w:ascii="Verdana" w:hAnsi="Verdana"/>
                <w:sz w:val="21"/>
                <w:szCs w:val="21"/>
              </w:rPr>
              <w:lastRenderedPageBreak/>
              <w:t>să transmită câte o declaraţie "Nulă" pentru fiecare perioadă de referinţă în care nu realizează schimburi intra-UE de bunuri.</w:t>
            </w:r>
            <w:r w:rsidRPr="00544D02">
              <w:rPr>
                <w:rFonts w:ascii="Verdana" w:hAnsi="Verdana"/>
                <w:sz w:val="21"/>
                <w:szCs w:val="21"/>
              </w:rPr>
              <w:br/>
              <w:t>Declaraţia statistică Intrastat "Nulă" trebuie completată doar cu datele de identificare ale furnizorului de informaţii statistice.</w:t>
            </w:r>
            <w:r w:rsidRPr="00544D02">
              <w:rPr>
                <w:rFonts w:ascii="Verdana" w:hAnsi="Verdana"/>
                <w:sz w:val="21"/>
                <w:szCs w:val="21"/>
              </w:rPr>
              <w:br/>
              <w:t>În cazul în care furnizorul de informaţii statistice Intrastat nu transmite către Institutul Naţional de Statistică declaraţia "Nulă" în perioada în care nu realizează schimburi intra-UE de bunuri, acesta va suporta prevederile legale în vigoare privind nerespectarea obligaţiilor în legătură cu furnizarea informaţiilor statistice Intrastat.</w:t>
            </w:r>
          </w:p>
        </w:tc>
      </w:tr>
      <w:tr w:rsidR="002C69F4" w:rsidRPr="00544D02" w:rsidTr="002C69F4">
        <w:trPr>
          <w:trHeight w:val="2445"/>
          <w:jc w:val="center"/>
        </w:trPr>
        <w:tc>
          <w:tcPr>
            <w:tcW w:w="0" w:type="auto"/>
            <w:tcMar>
              <w:top w:w="0" w:type="dxa"/>
              <w:left w:w="0" w:type="dxa"/>
              <w:bottom w:w="0" w:type="dxa"/>
              <w:right w:w="0" w:type="dxa"/>
            </w:tcMar>
            <w:vAlign w:val="center"/>
            <w:hideMark/>
          </w:tcPr>
          <w:p w:rsidR="002C69F4" w:rsidRPr="00544D02" w:rsidRDefault="002C69F4" w:rsidP="00544D02">
            <w:pPr>
              <w:spacing w:line="360" w:lineRule="auto"/>
              <w:rPr>
                <w:rFonts w:ascii="Verdana" w:hAnsi="Verdana"/>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Cod şi denumire din Nomenclatorul combinat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Pentru identificarea bunurilor ce fac obiectul schimburilor intra-UE se foloseşte Nomenclatorul combinat, denumit în continuare NC, la nivel de 8 cifre, aferent anului de referinţă pentru care are loc transmiterea datelor. Procedura de căutare şi selecţie a codurilor aferente bunurilor este facilitată de aplicaţiile informatice puse la dispoziţie cu titlu gratuit furnizorilor de informaţii statistice Intrastat de către Institutul Naţional de Statistică.</w:t>
            </w:r>
            <w:r w:rsidRPr="00544D02">
              <w:rPr>
                <w:rFonts w:ascii="Verdana" w:hAnsi="Verdana"/>
                <w:sz w:val="21"/>
                <w:szCs w:val="21"/>
              </w:rPr>
              <w:br/>
              <w:t>Furnizorul de informaţii statistice are obligaţia raportării corecte a bunurilor şi selectării codului de 8 cifre din NC corespunzător bunurilor ce fac obiectul schimburilor intra-UE. Informaţiile adiţionale privind codul NC la nivel de 8 cifre existente în diferite documente, spre exemplu factura externă etc., trebuie analizate cu rigurozitate în vederea asigurării corespondenţei cu bunurile pe care le însoţesc. În cazul în care aceste informaţii se dovedesc a fi incorecte sau inexacte vor fi ignorate în procedura de completare a Declaraţiei statistice Intrastat şi înlocuite cu informaţiile corecte, corespunzătoare bunurilor ce fac obiectul schimburilor intra-UE, conform NC în vigoare.</w:t>
            </w:r>
          </w:p>
        </w:tc>
      </w:tr>
      <w:tr w:rsidR="002C69F4" w:rsidRPr="00544D02" w:rsidTr="002C69F4">
        <w:trPr>
          <w:trHeight w:val="5010"/>
          <w:jc w:val="center"/>
        </w:trPr>
        <w:tc>
          <w:tcPr>
            <w:tcW w:w="0" w:type="auto"/>
            <w:tcMar>
              <w:top w:w="0" w:type="dxa"/>
              <w:left w:w="0" w:type="dxa"/>
              <w:bottom w:w="0" w:type="dxa"/>
              <w:right w:w="0" w:type="dxa"/>
            </w:tcMar>
            <w:vAlign w:val="center"/>
            <w:hideMark/>
          </w:tcPr>
          <w:p w:rsidR="002C69F4" w:rsidRPr="00544D02" w:rsidRDefault="002C69F4" w:rsidP="00544D02">
            <w:pPr>
              <w:spacing w:line="360" w:lineRule="auto"/>
              <w:rPr>
                <w:rFonts w:ascii="Verdana" w:hAnsi="Verdana"/>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Ţara parteneră</w:t>
            </w:r>
            <w:r w:rsidRPr="00544D02">
              <w:rPr>
                <w:rFonts w:ascii="Verdana" w:hAnsi="Verdana"/>
                <w:sz w:val="21"/>
                <w:szCs w:val="21"/>
              </w:rPr>
              <w:br/>
              <w:t>- Destinaţie</w:t>
            </w:r>
            <w:r w:rsidRPr="00544D02">
              <w:rPr>
                <w:rFonts w:ascii="Verdana" w:hAnsi="Verdana"/>
                <w:sz w:val="21"/>
                <w:szCs w:val="21"/>
              </w:rPr>
              <w:br/>
              <w:t>- Expediere/Origine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Pentru exporturi intra-UE de bunuri se indică statul membru de destinaţie din Uniunea Europeană, precum şi ţara de origine a bunului expediat, conform nomenclatorului de ţări şi teritorii prezentat în tabelul nr. 2.</w:t>
            </w:r>
            <w:r w:rsidRPr="00544D02">
              <w:rPr>
                <w:rFonts w:ascii="Verdana" w:hAnsi="Verdana"/>
                <w:sz w:val="21"/>
                <w:szCs w:val="21"/>
              </w:rPr>
              <w:br/>
              <w:t xml:space="preserve">Pentru importuri intra-UE de bunuri se indică statul membru de expediere din Uniunea Europeană, respectiv de unde bunurile au fost expediate către România, precum şi ţara de origine a bunului respectiv, conform nomenclatorului de ţări şi teritorii prezentat în tabelul nr. </w:t>
            </w:r>
            <w:proofErr w:type="gramStart"/>
            <w:r w:rsidRPr="00544D02">
              <w:rPr>
                <w:rFonts w:ascii="Verdana" w:hAnsi="Verdana"/>
                <w:sz w:val="21"/>
                <w:szCs w:val="21"/>
              </w:rPr>
              <w:t>2.</w:t>
            </w:r>
            <w:proofErr w:type="gramEnd"/>
            <w:r w:rsidRPr="00544D02">
              <w:rPr>
                <w:rFonts w:ascii="Verdana" w:hAnsi="Verdana"/>
                <w:sz w:val="21"/>
                <w:szCs w:val="21"/>
              </w:rPr>
              <w:br/>
              <w:t>Sunt considerate originare dintr-o ţară bunurile obţinute în întregime în respectiva ţară. În cazul în care două sau mai multe ţări au intervenit în fabricarea unui bun, acest bun este considerat originar din ţara în care a avut loc ultima transformare substanţială, justificată din punct de vedere economic, respectiv realizată de un operator economic echipat în acest sens şi având ca rezultat un produs nou sau reprezentând un stadiu de fabricaţie important.</w:t>
            </w:r>
            <w:r w:rsidRPr="00544D02">
              <w:rPr>
                <w:rFonts w:ascii="Verdana" w:hAnsi="Verdana"/>
                <w:sz w:val="21"/>
                <w:szCs w:val="21"/>
              </w:rPr>
              <w:br/>
              <w:t>Schimburile de bunuri cu anumite părţi ale teritoriilor statelor membre ale Uniunii Europene nu se cuprind în sistemul statistic Intrastat, deoarece acestea nu aparţin teritoriului statistic al Uniunii Europene, acestea făcând obiectul declaraţiilor vamale, pe care Institutul Naţional de Statistică le preia de la Agenţia Naţională de Administrare Fiscală. Aceste teritorii sunt: Insulele Feroe (FO), Groenlanda (GL), Busingen (CH), Ceuta (XC), Melilla (XL), Noua Caledonie (NC), Saint Pierre şi Miquelon (PM), Insulele Wallis şi Futuna (WF), Polinezia Franceză (PF), Teritoriile australe şi antarctice franceze (TF), Saint-Barthelemy (BL), San Marino (SM).</w:t>
            </w:r>
            <w:r w:rsidRPr="00544D02">
              <w:rPr>
                <w:rFonts w:ascii="Verdana" w:hAnsi="Verdana"/>
                <w:sz w:val="21"/>
                <w:szCs w:val="21"/>
              </w:rPr>
              <w:br/>
              <w:t xml:space="preserve">Schimburile de bunuri cu următoarele teritorii ale statelor membre care, deşi aparţin teritoriului statistic al Uniunii Europene, nu aparţin teritoriului fiscal al Uniunii Europene nu trebuie raportate în Declaraţia statistică Intrastat: Insula Heligoland (DE), Muntele Athos (GR), Insulele Canare (ES), Guyana Franceză (FR), Guadelupa (FR), Martinica (FR), Reunion (FR), Mayotte (FR), partea franceză a Saint Martin (FR), Livigno (IT), Campione d'Italia (IT), apele italiene ale lacului Lugano (IT), Insulele Åland (FI). Pentru schimburile de bunuri cu aceste teritorii se </w:t>
            </w:r>
            <w:r w:rsidRPr="00544D02">
              <w:rPr>
                <w:rFonts w:ascii="Verdana" w:hAnsi="Verdana"/>
                <w:sz w:val="21"/>
                <w:szCs w:val="21"/>
              </w:rPr>
              <w:lastRenderedPageBreak/>
              <w:t>întocmesc declaraţii vamale pe care Institutul Naţional de Statistică le preia de la Agenţia Naţională de Administrare Fiscală.</w:t>
            </w:r>
          </w:p>
        </w:tc>
      </w:tr>
      <w:tr w:rsidR="002C69F4" w:rsidRPr="00544D02" w:rsidTr="002C69F4">
        <w:trPr>
          <w:trHeight w:val="4545"/>
          <w:jc w:val="center"/>
        </w:trPr>
        <w:tc>
          <w:tcPr>
            <w:tcW w:w="0" w:type="auto"/>
            <w:tcMar>
              <w:top w:w="0" w:type="dxa"/>
              <w:left w:w="0" w:type="dxa"/>
              <w:bottom w:w="0" w:type="dxa"/>
              <w:right w:w="0" w:type="dxa"/>
            </w:tcMar>
            <w:vAlign w:val="center"/>
            <w:hideMark/>
          </w:tcPr>
          <w:p w:rsidR="002C69F4" w:rsidRPr="00544D02" w:rsidRDefault="002C69F4" w:rsidP="00544D02">
            <w:pPr>
              <w:spacing w:line="360" w:lineRule="auto"/>
              <w:rPr>
                <w:rFonts w:ascii="Verdana" w:hAnsi="Verdana"/>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Valoare facturată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Se completează valoarea facturată a bunurilor, conform documentelor de achiziţie/vânzare. Valoarea facturată se completează în lei, fără zecimale, şi nu cuprinde TVA, accize etc.</w:t>
            </w:r>
            <w:r w:rsidRPr="00544D02">
              <w:rPr>
                <w:rFonts w:ascii="Verdana" w:hAnsi="Verdana"/>
                <w:sz w:val="21"/>
                <w:szCs w:val="21"/>
              </w:rPr>
              <w:br/>
              <w:t>Dacă valoarea bunurilor este exprimată în altă monedă decât lei, pentru Declaraţia statistică Intrastat această valoare trebuie transformată în lei. Transformarea are la bază cursul de schimb stabilit de Banca Naţională a României în momentul expedierii/introducerii bunurilor din/pe teritoriul României.</w:t>
            </w:r>
            <w:r w:rsidRPr="00544D02">
              <w:rPr>
                <w:rFonts w:ascii="Verdana" w:hAnsi="Verdana"/>
                <w:sz w:val="21"/>
                <w:szCs w:val="21"/>
              </w:rPr>
              <w:br/>
              <w:t>Valoarea facturată trebuie să reflecte întotdeauna valoarea reală a bunurilor. Dacă schimbul de bunuri nu este însoţit de un document care să ateste valoarea reală a bunurilor, valoarea facturată trebuie estimată folosind valoarea de piaţă a bunurilor.</w:t>
            </w:r>
            <w:r w:rsidRPr="00544D02">
              <w:rPr>
                <w:rFonts w:ascii="Verdana" w:hAnsi="Verdana"/>
                <w:sz w:val="21"/>
                <w:szCs w:val="21"/>
              </w:rPr>
              <w:br/>
              <w:t>În valoarea facturată pot fi incluse cheltuieli incidentale, dacă acestea reprezintă plăţi achitate de cumpărător către vânzător şi sunt încorporate în mod simultan în baza de calcul pentru TVA. Cheltuielile incidentale pot reprezenta cheltuieli legate de ambalaje, transport, asigurare sau comisioane.</w:t>
            </w:r>
            <w:r w:rsidRPr="00544D02">
              <w:rPr>
                <w:rFonts w:ascii="Verdana" w:hAnsi="Verdana"/>
                <w:sz w:val="21"/>
                <w:szCs w:val="21"/>
              </w:rPr>
              <w:br/>
              <w:t>Pentru bunurile expediate/introduse pentru prelucrare trebuie indicată valoarea totală ce ar fi fost facturată în cazul cumpărării sau vânzării obişnuite a respectivelor bunuri.</w:t>
            </w:r>
            <w:r w:rsidRPr="00544D02">
              <w:rPr>
                <w:rFonts w:ascii="Verdana" w:hAnsi="Verdana"/>
                <w:sz w:val="21"/>
                <w:szCs w:val="21"/>
              </w:rPr>
              <w:br/>
            </w:r>
            <w:r w:rsidRPr="00544D02">
              <w:rPr>
                <w:rFonts w:ascii="Verdana" w:hAnsi="Verdana"/>
                <w:sz w:val="21"/>
                <w:szCs w:val="21"/>
              </w:rPr>
              <w:lastRenderedPageBreak/>
              <w:t>Pentru bunurile introduse/expediate în urma prelucrării, valoarea indicată trebuie să fie valoarea estimată a bunurilor expediate/introduse pentru prelucrare la care se adaugă valoarea activităţii de prelucrare realizată şi valoarea materialelor auxiliare încorporate în acestea.</w:t>
            </w:r>
            <w:r w:rsidRPr="00544D02">
              <w:rPr>
                <w:rFonts w:ascii="Verdana" w:hAnsi="Verdana"/>
                <w:sz w:val="21"/>
                <w:szCs w:val="21"/>
              </w:rPr>
              <w:br/>
              <w:t>Pentru alte schimburi intra-UE de bunuri pentru care nu există documente care să indice valoarea reală a bunurilor, în câmpul "valoare facturată" din Declaraţia statistică Intrastat trebuie indicată valoarea ce ar fi fost facturată în cazul cumpărării sau vânzării obişnuite a respectivelor bunuri. Este cazul furnizorilor de informaţii statistice Intrastat care realizează un transfer al propriilor bunuri în alt stat membru pentru o posibilă vânzare</w:t>
            </w:r>
            <w:proofErr w:type="gramStart"/>
            <w:r w:rsidRPr="00544D02">
              <w:rPr>
                <w:rFonts w:ascii="Verdana" w:hAnsi="Verdana"/>
                <w:sz w:val="21"/>
                <w:szCs w:val="21"/>
              </w:rPr>
              <w:t>,</w:t>
            </w:r>
            <w:proofErr w:type="gramEnd"/>
            <w:r w:rsidRPr="00544D02">
              <w:rPr>
                <w:rFonts w:ascii="Verdana" w:hAnsi="Verdana"/>
                <w:sz w:val="21"/>
                <w:szCs w:val="21"/>
              </w:rPr>
              <w:br/>
              <w:t>pentru stocare pe o perioadă mai mare de 24 de luni sau pentru prelucrare sub contract.</w:t>
            </w:r>
          </w:p>
        </w:tc>
      </w:tr>
      <w:tr w:rsidR="002C69F4" w:rsidRPr="00544D02" w:rsidTr="002C69F4">
        <w:trPr>
          <w:trHeight w:val="7065"/>
          <w:jc w:val="center"/>
        </w:trPr>
        <w:tc>
          <w:tcPr>
            <w:tcW w:w="0" w:type="auto"/>
            <w:tcMar>
              <w:top w:w="0" w:type="dxa"/>
              <w:left w:w="0" w:type="dxa"/>
              <w:bottom w:w="0" w:type="dxa"/>
              <w:right w:w="0" w:type="dxa"/>
            </w:tcMar>
            <w:vAlign w:val="center"/>
            <w:hideMark/>
          </w:tcPr>
          <w:p w:rsidR="002C69F4" w:rsidRPr="00544D02" w:rsidRDefault="002C69F4" w:rsidP="00544D02">
            <w:pPr>
              <w:spacing w:line="360" w:lineRule="auto"/>
              <w:rPr>
                <w:rFonts w:ascii="Verdana" w:hAnsi="Verdana"/>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Valoare statistică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Valoarea statistică a bunurilor trebuie completată de toţi furnizorii de informaţii statistice Intrastat care au realizat în anul anterior celui de referinţă sau în anul de referinţă importuri intra-UE de bunuri mai mari de 10.000.000 lei şi/sau exporturi intra-UE de bunuri mai mari de 20.000.000 lei.</w:t>
            </w:r>
            <w:r w:rsidRPr="00544D02">
              <w:rPr>
                <w:rFonts w:ascii="Verdana" w:hAnsi="Verdana"/>
                <w:sz w:val="21"/>
                <w:szCs w:val="21"/>
              </w:rPr>
              <w:br/>
              <w:t>Valoarea statistică este valoarea la frontiera României a bunului importat sau exportat. În afară de valoarea bunului, valoarea statistică conţine costul transportului şi asigurării acestuia până la frontiera română. Valoarea statistică derivă, în mod normal, din valoarea indicată în câmpul "valoare facturată" din Declaraţia statistică Intrastat, ajustată în funcţie de termenii de livrare.</w:t>
            </w:r>
            <w:r w:rsidRPr="00544D02">
              <w:rPr>
                <w:rFonts w:ascii="Verdana" w:hAnsi="Verdana"/>
                <w:sz w:val="21"/>
                <w:szCs w:val="21"/>
              </w:rPr>
              <w:br/>
              <w:t xml:space="preserve">Relaţiile existente între valoarea facturată, valoarea statistică şi termenii de livrare în Declaraţia statistică Intrastat sunt prezentate în tabelul nr. </w:t>
            </w:r>
            <w:proofErr w:type="gramStart"/>
            <w:r w:rsidRPr="00544D02">
              <w:rPr>
                <w:rFonts w:ascii="Verdana" w:hAnsi="Verdana"/>
                <w:sz w:val="21"/>
                <w:szCs w:val="21"/>
              </w:rPr>
              <w:t>3.</w:t>
            </w:r>
            <w:proofErr w:type="gramEnd"/>
            <w:r w:rsidRPr="00544D02">
              <w:rPr>
                <w:rFonts w:ascii="Verdana" w:hAnsi="Verdana"/>
                <w:sz w:val="21"/>
                <w:szCs w:val="21"/>
              </w:rPr>
              <w:br/>
              <w:t>Valoarea statistică a bunurilor se declară astfel:</w:t>
            </w:r>
            <w:r w:rsidRPr="00544D02">
              <w:rPr>
                <w:rFonts w:ascii="Verdana" w:hAnsi="Verdana"/>
                <w:sz w:val="21"/>
                <w:szCs w:val="21"/>
              </w:rPr>
              <w:br/>
              <w:t>• pentru exporturi intra-UE se declară valoarea bunurilor la care se adaugă cheltuielile de transport, asigurare şi alte cheltuieli pentru transportul bunurilor de la locul de expediere până la frontiera României (pe teritoriul naţional);</w:t>
            </w:r>
            <w:r w:rsidRPr="00544D02">
              <w:rPr>
                <w:rFonts w:ascii="Verdana" w:hAnsi="Verdana"/>
                <w:sz w:val="21"/>
                <w:szCs w:val="21"/>
              </w:rPr>
              <w:br/>
              <w:t xml:space="preserve">• pentru importuri intra-UE se declară valoarea bunurilor, inclusiv </w:t>
            </w:r>
            <w:r w:rsidRPr="00544D02">
              <w:rPr>
                <w:rFonts w:ascii="Verdana" w:hAnsi="Verdana"/>
                <w:sz w:val="21"/>
                <w:szCs w:val="21"/>
              </w:rPr>
              <w:lastRenderedPageBreak/>
              <w:t>cheltuielile de transport, asigurare şi alte cheltuieli pentru transportul bunurilor pe parcursul extern până la frontiera României.</w:t>
            </w:r>
            <w:r w:rsidRPr="00544D02">
              <w:rPr>
                <w:rFonts w:ascii="Verdana" w:hAnsi="Verdana"/>
                <w:sz w:val="21"/>
                <w:szCs w:val="21"/>
              </w:rPr>
              <w:br/>
              <w:t>Bunurile pentru prelucrare şi cele rezultate în urma prelucrării vor fi estimate la valoarea lor de piaţă, înainte şi, respectiv, după prelucrare. Valoarea statistică se completează în lei, fără zecimale.</w:t>
            </w:r>
            <w:r w:rsidRPr="00544D02">
              <w:rPr>
                <w:rFonts w:ascii="Verdana" w:hAnsi="Verdana"/>
                <w:sz w:val="21"/>
                <w:szCs w:val="21"/>
              </w:rPr>
              <w:br/>
              <w:t>Dacă valoarea bunurilor este exprimată în altă monedă decât lei, pentru declaraţia Intrastat această valoare trebuie transformată în lei. Transformarea are la bază cursul de schimb stabilit de Banca Naţională a României în momentul expedierii/introducerii bunurilor din/pe teritoriul României.</w:t>
            </w:r>
            <w:r w:rsidRPr="00544D02">
              <w:rPr>
                <w:rFonts w:ascii="Verdana" w:hAnsi="Verdana"/>
                <w:sz w:val="21"/>
                <w:szCs w:val="21"/>
              </w:rPr>
              <w:br/>
              <w:t>Masa netă Masa netă reprezintă masa reală a bunurilor, exclusiv ambalajele, cum ar fi paleţi, containere etc. Masa netă se exprimă în kilograme, fără zecimale, pentru fiecare linie din Declaraţia statistică Intrastat.</w:t>
            </w:r>
            <w:r w:rsidRPr="00544D02">
              <w:rPr>
                <w:rFonts w:ascii="Verdana" w:hAnsi="Verdana"/>
                <w:sz w:val="21"/>
                <w:szCs w:val="21"/>
              </w:rPr>
              <w:br/>
              <w:t>Pentru bunurile a căror masă netă este exprimată cu zecimale se aplică regulile generale de rotunjire, respectiv</w:t>
            </w:r>
            <w:proofErr w:type="gramStart"/>
            <w:r w:rsidRPr="00544D02">
              <w:rPr>
                <w:rFonts w:ascii="Verdana" w:hAnsi="Verdana"/>
                <w:sz w:val="21"/>
                <w:szCs w:val="21"/>
              </w:rPr>
              <w:t>:</w:t>
            </w:r>
            <w:proofErr w:type="gramEnd"/>
            <w:r w:rsidRPr="00544D02">
              <w:rPr>
                <w:rFonts w:ascii="Verdana" w:hAnsi="Verdana"/>
                <w:sz w:val="21"/>
                <w:szCs w:val="21"/>
              </w:rPr>
              <w:br/>
              <w:t>- dacă partea zecimală este mai mică decât 5, se rotunjeşte la valoarea întreagă inferioară;</w:t>
            </w:r>
            <w:r w:rsidRPr="00544D02">
              <w:rPr>
                <w:rFonts w:ascii="Verdana" w:hAnsi="Verdana"/>
                <w:sz w:val="21"/>
                <w:szCs w:val="21"/>
              </w:rPr>
              <w:br/>
              <w:t>- dacă partea zecimală este mai mare sau egală cu 5, se rotunjeşte la valoarea întreagă superioară.</w:t>
            </w:r>
            <w:r w:rsidRPr="00544D02">
              <w:rPr>
                <w:rFonts w:ascii="Verdana" w:hAnsi="Verdana"/>
                <w:sz w:val="21"/>
                <w:szCs w:val="21"/>
              </w:rPr>
              <w:br/>
              <w:t>Pentru bunurile a căror masă netă este mai mică de 1 kg, rotunjirea se face astfel: pentru cantităţi mai mari sau egale cu 0,5 kg se raportează 1 kg, iar pentru cantităţi mai mici de 0,5 kg se raportează 0 kg.</w:t>
            </w:r>
            <w:r w:rsidRPr="00544D02">
              <w:rPr>
                <w:rFonts w:ascii="Verdana" w:hAnsi="Verdana"/>
                <w:sz w:val="21"/>
                <w:szCs w:val="21"/>
              </w:rPr>
              <w:br/>
              <w:t>În cazul în care există mai multe bunuri declarate în linii distincte în Declaraţia statistică Intrastat pentru o anumită perioadă de referinţă, pe un anumit flux, încadrate la acelaşi cod de 8 cifre din NC, cu aceeaşi ţară parteneră, acelaşi tip de tranzacţie, aceiaşi termeni de livrare şi acelaşi mod de transport, iar masa netă pentru fiecare linie completată în Declaraţia statistică Intrastat este mai mică de 0,5 - respectivele linii vor fi cumulate pentru a nu denatura rezultatele statistice obţinute prin raportarea unor valori facturate/statistice mari aferente unor mase nete egale cu 0.</w:t>
            </w:r>
          </w:p>
        </w:tc>
      </w:tr>
      <w:tr w:rsidR="002C69F4" w:rsidRPr="00544D02" w:rsidTr="002C69F4">
        <w:trPr>
          <w:trHeight w:val="2025"/>
          <w:jc w:val="center"/>
        </w:trPr>
        <w:tc>
          <w:tcPr>
            <w:tcW w:w="0" w:type="auto"/>
            <w:tcMar>
              <w:top w:w="0" w:type="dxa"/>
              <w:left w:w="0" w:type="dxa"/>
              <w:bottom w:w="0" w:type="dxa"/>
              <w:right w:w="0" w:type="dxa"/>
            </w:tcMar>
            <w:vAlign w:val="center"/>
            <w:hideMark/>
          </w:tcPr>
          <w:p w:rsidR="002C69F4" w:rsidRPr="00544D02" w:rsidRDefault="002C69F4" w:rsidP="00544D02">
            <w:pPr>
              <w:spacing w:line="360" w:lineRule="auto"/>
              <w:rPr>
                <w:rFonts w:ascii="Verdana" w:hAnsi="Verdana"/>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Cantitatea în unitatea de măsură suplimentară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Unitatea de măsură suplimentară reprezintă unitatea de măsură a cantităţii, alta decât kilogramul, în care poate fi exprimat un bun. Nu toate bunurile pot fi exprimate în unităţi de măsură suplimentare. Unităţile de măsură suplimentare sunt stabilite prin NC pentru fiecare cod la nivel de 8 cifre ce poate fi exprimat într-o asemenea unitate de măsură. Lista unităţilor de măsură suplimentare este prezentată în tabelul nr. 4. În Declaraţia statistică Intrastat se indică cantitatea în unitatea de măsură suplimentară aferentă codului de 8 cifre selectat din NC, spre exemplu, număr de bucăţi, număr de perechi, metri pătraţi, metri cubi, litri etc.</w:t>
            </w:r>
            <w:r w:rsidRPr="00544D02">
              <w:rPr>
                <w:rFonts w:ascii="Verdana" w:hAnsi="Verdana"/>
                <w:sz w:val="21"/>
                <w:szCs w:val="21"/>
              </w:rPr>
              <w:br/>
              <w:t>Cantitatea în unităţi de măsură suplimentare se exprimă fără zecimale. În cazul în care cantitatea exprimată în unitate de măsură suplimentară este mai mică de 1 unitate de măsură suplimentară se raportează întotdeauna cifra 1. Pentru restul cazurilor se aplică regulile generale de rotunjire prezentate la punctul anterior "Masa netă".</w:t>
            </w:r>
          </w:p>
        </w:tc>
      </w:tr>
      <w:tr w:rsidR="002C69F4" w:rsidRPr="00544D02" w:rsidTr="002C69F4">
        <w:trPr>
          <w:trHeight w:val="1185"/>
          <w:jc w:val="center"/>
        </w:trPr>
        <w:tc>
          <w:tcPr>
            <w:tcW w:w="0" w:type="auto"/>
            <w:tcMar>
              <w:top w:w="0" w:type="dxa"/>
              <w:left w:w="0" w:type="dxa"/>
              <w:bottom w:w="0" w:type="dxa"/>
              <w:right w:w="0" w:type="dxa"/>
            </w:tcMar>
            <w:vAlign w:val="center"/>
            <w:hideMark/>
          </w:tcPr>
          <w:p w:rsidR="002C69F4" w:rsidRPr="00544D02" w:rsidRDefault="002C69F4" w:rsidP="00544D02">
            <w:pPr>
              <w:spacing w:line="360" w:lineRule="auto"/>
              <w:rPr>
                <w:rFonts w:ascii="Verdana" w:hAnsi="Verdana"/>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Natura tranzacţiei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Natura tranzacţiei defineşte tipul de tranzacţie realizată, spre exemplu vânzare, cumpărare, prelucrare etc. În Declaraţia statistică Intrastat se completează codul corespunzător naturii tranzacţiei, care se preia din coloana "Cod" a tabelului nr. 5. Coloana "Cod" conţine combinaţii ale codurilor numerice din coloana A şi a subdiviziunilor acestora din coloana B pe baza cărora se definesc, din punct de vedere statistic, tipurile de tranzacţii economice.</w:t>
            </w:r>
          </w:p>
        </w:tc>
      </w:tr>
      <w:tr w:rsidR="002C69F4" w:rsidRPr="00544D02" w:rsidTr="002C69F4">
        <w:trPr>
          <w:trHeight w:val="975"/>
          <w:jc w:val="center"/>
        </w:trPr>
        <w:tc>
          <w:tcPr>
            <w:tcW w:w="0" w:type="auto"/>
            <w:tcMar>
              <w:top w:w="0" w:type="dxa"/>
              <w:left w:w="0" w:type="dxa"/>
              <w:bottom w:w="0" w:type="dxa"/>
              <w:right w:w="0" w:type="dxa"/>
            </w:tcMar>
            <w:vAlign w:val="center"/>
            <w:hideMark/>
          </w:tcPr>
          <w:p w:rsidR="002C69F4" w:rsidRPr="00544D02" w:rsidRDefault="002C69F4" w:rsidP="00544D02">
            <w:pPr>
              <w:spacing w:line="360" w:lineRule="auto"/>
              <w:rPr>
                <w:rFonts w:ascii="Verdana" w:hAnsi="Verdana"/>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Termeni de livrare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Termenii de livrare reprezintă prevederi contractuale ce stabilesc obligaţiile vânzătorului şi ale cumpărătorului într-o tranzacţie.</w:t>
            </w:r>
            <w:r w:rsidRPr="00544D02">
              <w:rPr>
                <w:rFonts w:ascii="Verdana" w:hAnsi="Verdana"/>
                <w:sz w:val="21"/>
                <w:szCs w:val="21"/>
              </w:rPr>
              <w:br/>
              <w:t>În declaraţia statistică Intrastat se indică codurile INCOTERMS stabilite de Camera Internaţională de Comerţ, prezentaţi în nomenclatorul din tabelul nr. 6.</w:t>
            </w:r>
          </w:p>
        </w:tc>
      </w:tr>
      <w:tr w:rsidR="002C69F4" w:rsidRPr="00544D02" w:rsidTr="002C69F4">
        <w:trPr>
          <w:trHeight w:val="780"/>
          <w:jc w:val="center"/>
        </w:trPr>
        <w:tc>
          <w:tcPr>
            <w:tcW w:w="0" w:type="auto"/>
            <w:tcMar>
              <w:top w:w="0" w:type="dxa"/>
              <w:left w:w="0" w:type="dxa"/>
              <w:bottom w:w="0" w:type="dxa"/>
              <w:right w:w="0" w:type="dxa"/>
            </w:tcMar>
            <w:vAlign w:val="center"/>
            <w:hideMark/>
          </w:tcPr>
          <w:p w:rsidR="002C69F4" w:rsidRPr="00544D02" w:rsidRDefault="002C69F4" w:rsidP="00544D02">
            <w:pPr>
              <w:spacing w:line="360" w:lineRule="auto"/>
              <w:rPr>
                <w:rFonts w:ascii="Verdana" w:hAnsi="Verdana"/>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Mod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C69F4" w:rsidRPr="00544D02" w:rsidRDefault="002C69F4" w:rsidP="00544D02">
            <w:pPr>
              <w:spacing w:line="360" w:lineRule="auto"/>
              <w:rPr>
                <w:rFonts w:ascii="Verdana" w:hAnsi="Verdana"/>
                <w:sz w:val="21"/>
                <w:szCs w:val="21"/>
              </w:rPr>
            </w:pPr>
            <w:r w:rsidRPr="00544D02">
              <w:rPr>
                <w:rFonts w:ascii="Verdana" w:hAnsi="Verdana"/>
                <w:sz w:val="21"/>
                <w:szCs w:val="21"/>
              </w:rPr>
              <w:t>Se indică în declaraţia statistică Intrastat codul corespunzător modului de transport prin care bunurile părăsesc teritoriul naţional la expediere sau sosesc pe teritoriul naţional la introducere. Nomenclatorul modurilor de transport este prezentat în tabelul nr. 7.</w:t>
            </w:r>
          </w:p>
        </w:tc>
      </w:tr>
    </w:tbl>
    <w:p w:rsidR="00F27601" w:rsidRPr="00544D02" w:rsidRDefault="00F27601" w:rsidP="00544D02">
      <w:pPr>
        <w:pStyle w:val="Heading4"/>
        <w:shd w:val="clear" w:color="auto" w:fill="FFFFFF"/>
        <w:spacing w:before="0" w:beforeAutospacing="0" w:after="150" w:afterAutospacing="0" w:line="360" w:lineRule="auto"/>
        <w:jc w:val="center"/>
        <w:rPr>
          <w:rFonts w:ascii="Verdana" w:hAnsi="Verdana"/>
          <w:sz w:val="21"/>
        </w:rPr>
      </w:pPr>
      <w:bookmarkStart w:id="0" w:name="_GoBack"/>
      <w:bookmarkEnd w:id="0"/>
    </w:p>
    <w:sectPr w:rsidR="00F27601" w:rsidRPr="00544D02" w:rsidSect="00F276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941" w:rsidRDefault="00B27941" w:rsidP="001A4394">
      <w:pPr>
        <w:spacing w:after="0" w:line="240" w:lineRule="auto"/>
      </w:pPr>
      <w:r>
        <w:separator/>
      </w:r>
    </w:p>
  </w:endnote>
  <w:endnote w:type="continuationSeparator" w:id="0">
    <w:p w:rsidR="00B27941" w:rsidRDefault="00B27941" w:rsidP="001A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94" w:rsidRDefault="001A4394" w:rsidP="001A4394">
    <w:pPr>
      <w:pStyle w:val="Footer"/>
      <w:jc w:val="right"/>
    </w:pPr>
    <w:r>
      <w:t xml:space="preserve">Pagina </w:t>
    </w:r>
    <w:r>
      <w:rPr>
        <w:b/>
      </w:rPr>
      <w:fldChar w:fldCharType="begin"/>
    </w:r>
    <w:r>
      <w:rPr>
        <w:b/>
      </w:rPr>
      <w:instrText xml:space="preserve"> PAGE  \* Arabic  \* MERGEFORMAT </w:instrText>
    </w:r>
    <w:r>
      <w:rPr>
        <w:b/>
      </w:rPr>
      <w:fldChar w:fldCharType="separate"/>
    </w:r>
    <w:r>
      <w:rPr>
        <w:b/>
        <w:noProof/>
      </w:rPr>
      <w:t>4</w:t>
    </w:r>
    <w:r>
      <w:rPr>
        <w:b/>
      </w:rPr>
      <w:fldChar w:fldCharType="end"/>
    </w:r>
    <w:r>
      <w:t xml:space="preserve"> din </w:t>
    </w:r>
    <w:r>
      <w:rPr>
        <w:b/>
      </w:rPr>
      <w:fldChar w:fldCharType="begin"/>
    </w:r>
    <w:r>
      <w:rPr>
        <w:b/>
      </w:rPr>
      <w:instrText xml:space="preserve"> NUMPAGES  \* Arabic  \* MERGEFORMAT </w:instrText>
    </w:r>
    <w:r>
      <w:rPr>
        <w:b/>
      </w:rPr>
      <w:fldChar w:fldCharType="separate"/>
    </w:r>
    <w:r>
      <w:rPr>
        <w:b/>
        <w:noProof/>
      </w:rPr>
      <w:t>8</w:t>
    </w:r>
    <w:r>
      <w:rPr>
        <w:b/>
      </w:rPr>
      <w:fldChar w:fldCharType="end"/>
    </w:r>
  </w:p>
  <w:p w:rsidR="001A4394" w:rsidRDefault="001A4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941" w:rsidRDefault="00B27941" w:rsidP="001A4394">
      <w:pPr>
        <w:spacing w:after="0" w:line="240" w:lineRule="auto"/>
      </w:pPr>
      <w:r>
        <w:separator/>
      </w:r>
    </w:p>
  </w:footnote>
  <w:footnote w:type="continuationSeparator" w:id="0">
    <w:p w:rsidR="00B27941" w:rsidRDefault="00B27941" w:rsidP="001A43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49"/>
    <w:rsid w:val="001A4394"/>
    <w:rsid w:val="002C69F4"/>
    <w:rsid w:val="00415D59"/>
    <w:rsid w:val="00422FB5"/>
    <w:rsid w:val="00544D02"/>
    <w:rsid w:val="00633907"/>
    <w:rsid w:val="00804B55"/>
    <w:rsid w:val="00A24A49"/>
    <w:rsid w:val="00B27941"/>
    <w:rsid w:val="00BE31D4"/>
    <w:rsid w:val="00C50342"/>
    <w:rsid w:val="00F2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4A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24A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24A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A4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24A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24A49"/>
    <w:rPr>
      <w:rFonts w:ascii="Times New Roman" w:eastAsia="Times New Roman" w:hAnsi="Times New Roman" w:cs="Times New Roman"/>
      <w:b/>
      <w:bCs/>
      <w:sz w:val="24"/>
      <w:szCs w:val="24"/>
    </w:rPr>
  </w:style>
  <w:style w:type="character" w:customStyle="1" w:styleId="js-calendar">
    <w:name w:val="js-calendar"/>
    <w:basedOn w:val="DefaultParagraphFont"/>
    <w:rsid w:val="00A24A49"/>
  </w:style>
  <w:style w:type="paragraph" w:customStyle="1" w:styleId="al">
    <w:name w:val="a_l"/>
    <w:basedOn w:val="Normal"/>
    <w:rsid w:val="00A24A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A49"/>
    <w:rPr>
      <w:color w:val="0000FF"/>
      <w:u w:val="single"/>
    </w:rPr>
  </w:style>
  <w:style w:type="paragraph" w:styleId="NormalWeb">
    <w:name w:val="Normal (Web)"/>
    <w:basedOn w:val="Normal"/>
    <w:uiPriority w:val="99"/>
    <w:semiHidden/>
    <w:unhideWhenUsed/>
    <w:rsid w:val="002C69F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C69F4"/>
    <w:rPr>
      <w:color w:val="800080"/>
      <w:u w:val="single"/>
    </w:rPr>
  </w:style>
  <w:style w:type="character" w:customStyle="1" w:styleId="js-ineffectstring">
    <w:name w:val="js-ineffectstring"/>
    <w:basedOn w:val="DefaultParagraphFont"/>
    <w:rsid w:val="002C69F4"/>
  </w:style>
  <w:style w:type="character" w:styleId="Strong">
    <w:name w:val="Strong"/>
    <w:basedOn w:val="DefaultParagraphFont"/>
    <w:uiPriority w:val="22"/>
    <w:qFormat/>
    <w:rsid w:val="002C69F4"/>
    <w:rPr>
      <w:b/>
      <w:bCs/>
    </w:rPr>
  </w:style>
  <w:style w:type="character" w:styleId="Emphasis">
    <w:name w:val="Emphasis"/>
    <w:basedOn w:val="DefaultParagraphFont"/>
    <w:uiPriority w:val="20"/>
    <w:qFormat/>
    <w:rsid w:val="002C69F4"/>
    <w:rPr>
      <w:i/>
      <w:iCs/>
    </w:rPr>
  </w:style>
  <w:style w:type="paragraph" w:styleId="Header">
    <w:name w:val="header"/>
    <w:basedOn w:val="Normal"/>
    <w:link w:val="HeaderChar"/>
    <w:uiPriority w:val="99"/>
    <w:unhideWhenUsed/>
    <w:rsid w:val="001A4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394"/>
  </w:style>
  <w:style w:type="paragraph" w:styleId="Footer">
    <w:name w:val="footer"/>
    <w:basedOn w:val="Normal"/>
    <w:link w:val="FooterChar"/>
    <w:uiPriority w:val="99"/>
    <w:unhideWhenUsed/>
    <w:rsid w:val="001A4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394"/>
  </w:style>
  <w:style w:type="paragraph" w:styleId="BalloonText">
    <w:name w:val="Balloon Text"/>
    <w:basedOn w:val="Normal"/>
    <w:link w:val="BalloonTextChar"/>
    <w:uiPriority w:val="99"/>
    <w:semiHidden/>
    <w:unhideWhenUsed/>
    <w:rsid w:val="001A4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4A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24A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24A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A4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24A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24A49"/>
    <w:rPr>
      <w:rFonts w:ascii="Times New Roman" w:eastAsia="Times New Roman" w:hAnsi="Times New Roman" w:cs="Times New Roman"/>
      <w:b/>
      <w:bCs/>
      <w:sz w:val="24"/>
      <w:szCs w:val="24"/>
    </w:rPr>
  </w:style>
  <w:style w:type="character" w:customStyle="1" w:styleId="js-calendar">
    <w:name w:val="js-calendar"/>
    <w:basedOn w:val="DefaultParagraphFont"/>
    <w:rsid w:val="00A24A49"/>
  </w:style>
  <w:style w:type="paragraph" w:customStyle="1" w:styleId="al">
    <w:name w:val="a_l"/>
    <w:basedOn w:val="Normal"/>
    <w:rsid w:val="00A24A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A49"/>
    <w:rPr>
      <w:color w:val="0000FF"/>
      <w:u w:val="single"/>
    </w:rPr>
  </w:style>
  <w:style w:type="paragraph" w:styleId="NormalWeb">
    <w:name w:val="Normal (Web)"/>
    <w:basedOn w:val="Normal"/>
    <w:uiPriority w:val="99"/>
    <w:semiHidden/>
    <w:unhideWhenUsed/>
    <w:rsid w:val="002C69F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C69F4"/>
    <w:rPr>
      <w:color w:val="800080"/>
      <w:u w:val="single"/>
    </w:rPr>
  </w:style>
  <w:style w:type="character" w:customStyle="1" w:styleId="js-ineffectstring">
    <w:name w:val="js-ineffectstring"/>
    <w:basedOn w:val="DefaultParagraphFont"/>
    <w:rsid w:val="002C69F4"/>
  </w:style>
  <w:style w:type="character" w:styleId="Strong">
    <w:name w:val="Strong"/>
    <w:basedOn w:val="DefaultParagraphFont"/>
    <w:uiPriority w:val="22"/>
    <w:qFormat/>
    <w:rsid w:val="002C69F4"/>
    <w:rPr>
      <w:b/>
      <w:bCs/>
    </w:rPr>
  </w:style>
  <w:style w:type="character" w:styleId="Emphasis">
    <w:name w:val="Emphasis"/>
    <w:basedOn w:val="DefaultParagraphFont"/>
    <w:uiPriority w:val="20"/>
    <w:qFormat/>
    <w:rsid w:val="002C69F4"/>
    <w:rPr>
      <w:i/>
      <w:iCs/>
    </w:rPr>
  </w:style>
  <w:style w:type="paragraph" w:styleId="Header">
    <w:name w:val="header"/>
    <w:basedOn w:val="Normal"/>
    <w:link w:val="HeaderChar"/>
    <w:uiPriority w:val="99"/>
    <w:unhideWhenUsed/>
    <w:rsid w:val="001A4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394"/>
  </w:style>
  <w:style w:type="paragraph" w:styleId="Footer">
    <w:name w:val="footer"/>
    <w:basedOn w:val="Normal"/>
    <w:link w:val="FooterChar"/>
    <w:uiPriority w:val="99"/>
    <w:unhideWhenUsed/>
    <w:rsid w:val="001A4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394"/>
  </w:style>
  <w:style w:type="paragraph" w:styleId="BalloonText">
    <w:name w:val="Balloon Text"/>
    <w:basedOn w:val="Normal"/>
    <w:link w:val="BalloonTextChar"/>
    <w:uiPriority w:val="99"/>
    <w:semiHidden/>
    <w:unhideWhenUsed/>
    <w:rsid w:val="001A4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7224">
      <w:bodyDiv w:val="1"/>
      <w:marLeft w:val="0"/>
      <w:marRight w:val="0"/>
      <w:marTop w:val="0"/>
      <w:marBottom w:val="0"/>
      <w:divBdr>
        <w:top w:val="none" w:sz="0" w:space="0" w:color="auto"/>
        <w:left w:val="none" w:sz="0" w:space="0" w:color="auto"/>
        <w:bottom w:val="none" w:sz="0" w:space="0" w:color="auto"/>
        <w:right w:val="none" w:sz="0" w:space="0" w:color="auto"/>
      </w:divBdr>
      <w:divsChild>
        <w:div w:id="193075849">
          <w:marLeft w:val="0"/>
          <w:marRight w:val="0"/>
          <w:marTop w:val="0"/>
          <w:marBottom w:val="300"/>
          <w:divBdr>
            <w:top w:val="none" w:sz="0" w:space="0" w:color="auto"/>
            <w:left w:val="none" w:sz="0" w:space="0" w:color="auto"/>
            <w:bottom w:val="none" w:sz="0" w:space="0" w:color="auto"/>
            <w:right w:val="none" w:sz="0" w:space="0" w:color="auto"/>
          </w:divBdr>
        </w:div>
        <w:div w:id="407389244">
          <w:marLeft w:val="0"/>
          <w:marRight w:val="0"/>
          <w:marTop w:val="0"/>
          <w:marBottom w:val="300"/>
          <w:divBdr>
            <w:top w:val="none" w:sz="0" w:space="0" w:color="auto"/>
            <w:left w:val="none" w:sz="0" w:space="0" w:color="auto"/>
            <w:bottom w:val="none" w:sz="0" w:space="0" w:color="auto"/>
            <w:right w:val="none" w:sz="0" w:space="0" w:color="auto"/>
          </w:divBdr>
        </w:div>
      </w:divsChild>
    </w:div>
    <w:div w:id="1569075019">
      <w:bodyDiv w:val="1"/>
      <w:marLeft w:val="0"/>
      <w:marRight w:val="0"/>
      <w:marTop w:val="0"/>
      <w:marBottom w:val="0"/>
      <w:divBdr>
        <w:top w:val="none" w:sz="0" w:space="0" w:color="auto"/>
        <w:left w:val="none" w:sz="0" w:space="0" w:color="auto"/>
        <w:bottom w:val="none" w:sz="0" w:space="0" w:color="auto"/>
        <w:right w:val="none" w:sz="0" w:space="0" w:color="auto"/>
      </w:divBdr>
      <w:divsChild>
        <w:div w:id="1350058767">
          <w:marLeft w:val="0"/>
          <w:marRight w:val="0"/>
          <w:marTop w:val="0"/>
          <w:marBottom w:val="300"/>
          <w:divBdr>
            <w:top w:val="none" w:sz="0" w:space="0" w:color="auto"/>
            <w:left w:val="none" w:sz="0" w:space="0" w:color="auto"/>
            <w:bottom w:val="none" w:sz="0" w:space="0" w:color="auto"/>
            <w:right w:val="none" w:sz="0" w:space="0" w:color="auto"/>
          </w:divBdr>
        </w:div>
        <w:div w:id="866721165">
          <w:marLeft w:val="0"/>
          <w:marRight w:val="0"/>
          <w:marTop w:val="0"/>
          <w:marBottom w:val="300"/>
          <w:divBdr>
            <w:top w:val="none" w:sz="0" w:space="0" w:color="auto"/>
            <w:left w:val="none" w:sz="0" w:space="0" w:color="auto"/>
            <w:bottom w:val="none" w:sz="0" w:space="0" w:color="auto"/>
            <w:right w:val="none" w:sz="0" w:space="0" w:color="auto"/>
          </w:divBdr>
        </w:div>
        <w:div w:id="974333316">
          <w:marLeft w:val="0"/>
          <w:marRight w:val="0"/>
          <w:marTop w:val="0"/>
          <w:marBottom w:val="300"/>
          <w:divBdr>
            <w:top w:val="none" w:sz="0" w:space="0" w:color="auto"/>
            <w:left w:val="none" w:sz="0" w:space="0" w:color="auto"/>
            <w:bottom w:val="none" w:sz="0" w:space="0" w:color="auto"/>
            <w:right w:val="none" w:sz="0" w:space="0" w:color="auto"/>
          </w:divBdr>
        </w:div>
        <w:div w:id="1246112449">
          <w:marLeft w:val="0"/>
          <w:marRight w:val="75"/>
          <w:marTop w:val="0"/>
          <w:marBottom w:val="0"/>
          <w:divBdr>
            <w:top w:val="none" w:sz="0" w:space="0" w:color="auto"/>
            <w:left w:val="none" w:sz="0" w:space="0" w:color="auto"/>
            <w:bottom w:val="none" w:sz="0" w:space="0" w:color="auto"/>
            <w:right w:val="none" w:sz="0" w:space="0" w:color="auto"/>
          </w:divBdr>
        </w:div>
        <w:div w:id="1079641143">
          <w:marLeft w:val="0"/>
          <w:marRight w:val="0"/>
          <w:marTop w:val="0"/>
          <w:marBottom w:val="300"/>
          <w:divBdr>
            <w:top w:val="none" w:sz="0" w:space="0" w:color="auto"/>
            <w:left w:val="none" w:sz="0" w:space="0" w:color="auto"/>
            <w:bottom w:val="none" w:sz="0" w:space="0" w:color="auto"/>
            <w:right w:val="none" w:sz="0" w:space="0" w:color="auto"/>
          </w:divBdr>
        </w:div>
        <w:div w:id="701982407">
          <w:marLeft w:val="0"/>
          <w:marRight w:val="0"/>
          <w:marTop w:val="0"/>
          <w:marBottom w:val="300"/>
          <w:divBdr>
            <w:top w:val="none" w:sz="0" w:space="0" w:color="auto"/>
            <w:left w:val="none" w:sz="0" w:space="0" w:color="auto"/>
            <w:bottom w:val="none" w:sz="0" w:space="0" w:color="auto"/>
            <w:right w:val="none" w:sz="0" w:space="0" w:color="auto"/>
          </w:divBdr>
        </w:div>
        <w:div w:id="167794656">
          <w:marLeft w:val="0"/>
          <w:marRight w:val="0"/>
          <w:marTop w:val="0"/>
          <w:marBottom w:val="300"/>
          <w:divBdr>
            <w:top w:val="none" w:sz="0" w:space="0" w:color="auto"/>
            <w:left w:val="none" w:sz="0" w:space="0" w:color="auto"/>
            <w:bottom w:val="none" w:sz="0" w:space="0" w:color="auto"/>
            <w:right w:val="none" w:sz="0" w:space="0" w:color="auto"/>
          </w:divBdr>
        </w:div>
        <w:div w:id="1582180351">
          <w:marLeft w:val="0"/>
          <w:marRight w:val="0"/>
          <w:marTop w:val="0"/>
          <w:marBottom w:val="300"/>
          <w:divBdr>
            <w:top w:val="none" w:sz="0" w:space="0" w:color="auto"/>
            <w:left w:val="none" w:sz="0" w:space="0" w:color="auto"/>
            <w:bottom w:val="none" w:sz="0" w:space="0" w:color="auto"/>
            <w:right w:val="none" w:sz="0" w:space="0" w:color="auto"/>
          </w:divBdr>
        </w:div>
        <w:div w:id="2012293570">
          <w:marLeft w:val="0"/>
          <w:marRight w:val="0"/>
          <w:marTop w:val="0"/>
          <w:marBottom w:val="300"/>
          <w:divBdr>
            <w:top w:val="none" w:sz="0" w:space="0" w:color="auto"/>
            <w:left w:val="none" w:sz="0" w:space="0" w:color="auto"/>
            <w:bottom w:val="none" w:sz="0" w:space="0" w:color="auto"/>
            <w:right w:val="none" w:sz="0" w:space="0" w:color="auto"/>
          </w:divBdr>
        </w:div>
        <w:div w:id="237249535">
          <w:marLeft w:val="0"/>
          <w:marRight w:val="0"/>
          <w:marTop w:val="0"/>
          <w:marBottom w:val="300"/>
          <w:divBdr>
            <w:top w:val="none" w:sz="0" w:space="0" w:color="auto"/>
            <w:left w:val="none" w:sz="0" w:space="0" w:color="auto"/>
            <w:bottom w:val="none" w:sz="0" w:space="0" w:color="auto"/>
            <w:right w:val="none" w:sz="0" w:space="0" w:color="auto"/>
          </w:divBdr>
        </w:div>
        <w:div w:id="1991858459">
          <w:marLeft w:val="0"/>
          <w:marRight w:val="0"/>
          <w:marTop w:val="0"/>
          <w:marBottom w:val="300"/>
          <w:divBdr>
            <w:top w:val="none" w:sz="0" w:space="0" w:color="auto"/>
            <w:left w:val="none" w:sz="0" w:space="0" w:color="auto"/>
            <w:bottom w:val="none" w:sz="0" w:space="0" w:color="auto"/>
            <w:right w:val="none" w:sz="0" w:space="0" w:color="auto"/>
          </w:divBdr>
        </w:div>
        <w:div w:id="189616363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57BE2-8F93-4053-8BA9-289284C8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Alexandra Simion</cp:lastModifiedBy>
  <cp:revision>3</cp:revision>
  <dcterms:created xsi:type="dcterms:W3CDTF">2022-01-26T09:06:00Z</dcterms:created>
  <dcterms:modified xsi:type="dcterms:W3CDTF">2022-01-26T09:07:00Z</dcterms:modified>
</cp:coreProperties>
</file>