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48" w:rsidRPr="00E04448" w:rsidRDefault="00E04448" w:rsidP="00E04448">
      <w:pPr>
        <w:shd w:val="clear" w:color="auto" w:fill="FFFFFF"/>
        <w:spacing w:after="0" w:line="360" w:lineRule="auto"/>
        <w:jc w:val="right"/>
        <w:outlineLvl w:val="3"/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  <w:bookmarkStart w:id="0" w:name="_GoBack"/>
      <w:bookmarkEnd w:id="0"/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ANEXA Nr. 1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Angajator . . . . . . . . . 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Adresă sediu social . . . . . . . . . 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CUI/CIF . . . . . . . . . 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Cont nr. *) . . . . . . . . . 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*)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Se va completa în mod corespunzător, după cum urmează: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-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angajatorii prevăzuţi la art. 2 alin. (1) </w:t>
      </w:r>
      <w:hyperlink r:id="rId6" w:anchor="p-460001518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lit. a)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din Ordonanţa de urgenţă a Guvernului nr. 36/2022 completează contul deschis la instituţia de credit;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-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angajatorii prevăzuţi la art. 2 alin. (1) </w:t>
      </w:r>
      <w:hyperlink r:id="rId7" w:anchor="p-460001519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lit. b)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din Ordonanţa de urgenţă a Guvernului nr. 36/2022 completează contul distinct de disponibil cu afectaţiune specială ce nu poate fi supus executării silite, deschis la Trezoreria Statului.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Telefon . . . . . . . . . 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E-mail . . . . . . . . . 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Către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Agenţia pentru Ocuparea Forţei de Muncă a Judeţului . . . . . . . . . ./Municipiului Bucureşti</w:t>
      </w:r>
    </w:p>
    <w:p w:rsidR="00E04448" w:rsidRPr="00E04448" w:rsidRDefault="00E04448" w:rsidP="00E04448">
      <w:pPr>
        <w:shd w:val="clear" w:color="auto" w:fill="FFFFFF"/>
        <w:spacing w:after="0" w:line="360" w:lineRule="auto"/>
        <w:jc w:val="center"/>
        <w:outlineLvl w:val="3"/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CERERE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Subsemnatul/ (a),.........., în calitate de administrator/reprezentant legal al angajatorului.........., cu sediul social în localitatea.........., str........... nr..........., judeţul..................../sectorul.........., vă solicit plata contravalorii indemnizaţiei prevăzute la </w:t>
      </w:r>
      <w:hyperlink r:id="rId8" w:anchor="p-460001514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art. 1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din Ordonanţa de urgenţă a Guvernului nr. 36/2022 privind stabilirea unor măsuri de protecţie socială a salariaţilor în contextul conflictului armat din Ucraina, precum şi ca urmare a sancţiunilor internaţionale aplicate Federaţiei Ruse şi Belarusului, pentru un număr de.......... persoane, în sumă totală de.......... lei, aferentă perioadei...........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Anexez prezentei lista persoanelor care urmează să beneficieze de indemnizaţie, precum şi:**)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**)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Se va bifa în mod corespunzător.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 xml:space="preserve">□ declaraţie pe propria răspundere din care reiese faptul că angajatorul a fost afectat în mod direct sau indirect de imposibilitatea efectuării de tranzacţii comerciale cu 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lastRenderedPageBreak/>
        <w:t>operatori economici din Ucraina, Federaţia Rusă şi Belarus, ca urmare a efectelor generate de conflictul armat din Ucraina;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□ copia ordinului de blocare a fondurilor sau resurselor economice în domeniul sancţiunilor internaţionale, emis de preşedintele Agenţiei Naţionale de Administrare Fiscală.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Totodată, cunoscând prevederile </w:t>
      </w:r>
      <w:hyperlink r:id="rId9" w:anchor="p-312709239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art. 326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cu privire la falsul în declaraţii din Legea </w:t>
      </w:r>
      <w:hyperlink r:id="rId10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nr. 286/2009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privind </w:t>
      </w:r>
      <w:hyperlink r:id="rId11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Codul penal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, cu modificările şi completările ulterioare, prin prezenta declar pe propria răspundere că: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-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angajatorul nu face parte din categoria instituţiilor şi autorităţilor publice, astfel cum sunt acestea definite la art. 2 alin. (1) </w:t>
      </w:r>
      <w:hyperlink r:id="rId12" w:anchor="p-65690193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pct. 30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din Legea nr. 500/2002 privind finanţele publice, cu modificările şi completările ulterioare, precum şi la art. 2 alin. (1) </w:t>
      </w:r>
      <w:hyperlink r:id="rId13" w:anchor="p-29475564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pct. 5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din Legea nr. 273/2006 privind finanţele publice locale, cu modificările şi completările ulterioare;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-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angajatorul, la data prezentei, nu se află în faliment, dizolvare, lichidare, nu are activităţile suspendate sau nu are restricţii impuse asupra acestora, din alte motive decât cele prevăzute la art. 2 </w:t>
      </w:r>
      <w:hyperlink r:id="rId14" w:anchor="p-460001517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alin. (1)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din Ordonanţa de urgenţă a Guvernului nr. 36/2022.</w:t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9"/>
        <w:gridCol w:w="6066"/>
      </w:tblGrid>
      <w:tr w:rsidR="00E04448" w:rsidTr="00C6092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 w:rsidP="00C60923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 w:rsidP="00C60923"/>
        </w:tc>
      </w:tr>
      <w:tr w:rsidR="00E04448" w:rsidTr="00C60923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 w:rsidP="00C60923"/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448" w:rsidRDefault="00E04448" w:rsidP="00C6092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Numele şi prenumele administratorului/reprezentantului legal (în clar) . . . . . . . . . .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br/>
              <w:t>Semnătura . . . . . . . . . .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br/>
              <w:t>Data . . . . . . . . . .</w:t>
            </w:r>
          </w:p>
        </w:tc>
      </w:tr>
    </w:tbl>
    <w:p w:rsidR="003A714A" w:rsidRDefault="003A714A">
      <w:pPr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</w:p>
    <w:p w:rsidR="003A714A" w:rsidRDefault="003A714A">
      <w:pPr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</w:p>
    <w:p w:rsidR="003A714A" w:rsidRDefault="003A714A">
      <w:pPr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</w:p>
    <w:p w:rsidR="003A714A" w:rsidRDefault="003A714A">
      <w:pPr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</w:p>
    <w:p w:rsidR="003A714A" w:rsidRDefault="003A714A">
      <w:pPr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</w:p>
    <w:p w:rsidR="003A714A" w:rsidRDefault="003A714A">
      <w:pPr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</w:p>
    <w:p w:rsidR="003A714A" w:rsidRDefault="003A714A">
      <w:pPr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</w:p>
    <w:p w:rsidR="003A714A" w:rsidRDefault="003A714A">
      <w:pPr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</w:p>
    <w:p w:rsidR="003A714A" w:rsidRDefault="003A714A">
      <w:pPr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</w:p>
    <w:p w:rsidR="003A714A" w:rsidRDefault="003A714A">
      <w:pPr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</w:p>
    <w:p w:rsidR="00E04448" w:rsidRDefault="00E04448" w:rsidP="00E04448">
      <w:pPr>
        <w:shd w:val="clear" w:color="auto" w:fill="FFFFFF"/>
        <w:spacing w:after="0" w:line="360" w:lineRule="auto"/>
        <w:jc w:val="right"/>
        <w:outlineLvl w:val="3"/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  <w:r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lastRenderedPageBreak/>
        <w:t>ANEXA Nr. 2</w:t>
      </w:r>
    </w:p>
    <w:p w:rsidR="00E04448" w:rsidRPr="00E04448" w:rsidRDefault="00E04448" w:rsidP="00E04448">
      <w:pPr>
        <w:shd w:val="clear" w:color="auto" w:fill="FFFFFF"/>
        <w:spacing w:after="0" w:line="360" w:lineRule="auto"/>
        <w:jc w:val="center"/>
        <w:outlineLvl w:val="3"/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DECLARAŢIE PE PROPRIA RĂSPUNDERE</w:t>
      </w:r>
    </w:p>
    <w:p w:rsidR="003A714A" w:rsidRDefault="003A714A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Subsemnatul/ (a),.........., în calitate de administrator/reprezentant legal al angajatorului.........., CUI/CIF.........., cu sediul social în localitatea.........., str........... nr..........., judeţul........../sectorul.........., cunoscând prevederile </w:t>
      </w:r>
      <w:hyperlink r:id="rId15" w:anchor="p-312709239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art. 326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cu privire la falsul în declaraţii din Legea </w:t>
      </w:r>
      <w:hyperlink r:id="rId16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nr. 286/2009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privind </w:t>
      </w:r>
      <w:hyperlink r:id="rId17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Codul penal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, cu modificările şi completările ulterioare, declar pe propria răspundere că</w:t>
      </w:r>
      <w:r w:rsidRPr="00E04448">
        <w:rPr>
          <w:rFonts w:ascii="Verdana" w:eastAsia="Times New Roman" w:hAnsi="Verdana" w:cs="Calibri"/>
          <w:sz w:val="21"/>
          <w:szCs w:val="19"/>
          <w:vertAlign w:val="superscript"/>
          <w:lang w:eastAsia="ro-RO"/>
        </w:rPr>
        <w:t>1)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: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Activitatea.........., cod CAEN.........., pe care o desfăşor în localitatea/localităţile.........., judeţul/judeţele.........., este</w:t>
      </w:r>
      <w:r w:rsidRPr="00E04448">
        <w:rPr>
          <w:rFonts w:ascii="Verdana" w:eastAsia="Times New Roman" w:hAnsi="Verdana" w:cs="Calibri"/>
          <w:sz w:val="21"/>
          <w:szCs w:val="19"/>
          <w:vertAlign w:val="superscript"/>
          <w:lang w:eastAsia="ro-RO"/>
        </w:rPr>
        <w:t>2)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.........., iar contractele individuale de muncă ale salariaţilor implicaţi în această activitate sunt suspendate temporar potrivit art. 52 alin. (1) </w:t>
      </w:r>
      <w:hyperlink r:id="rId18" w:anchor="p-56618199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lit. c)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din Legea nr. 53/2003 - </w:t>
      </w:r>
      <w:hyperlink r:id="rId19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Codul muncii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, republicată, cu modificările şi completările ulterioare, întrucât:</w:t>
      </w:r>
      <w:r w:rsidRPr="00E04448">
        <w:rPr>
          <w:rFonts w:ascii="Verdana" w:eastAsia="Times New Roman" w:hAnsi="Verdana" w:cs="Calibri"/>
          <w:sz w:val="21"/>
          <w:szCs w:val="19"/>
          <w:vertAlign w:val="superscript"/>
          <w:lang w:eastAsia="ro-RO"/>
        </w:rPr>
        <w:t>3)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află în imposibilitatea efectuării de tranzacţii comerciale cu</w:t>
      </w:r>
      <w:r w:rsidRPr="00E04448">
        <w:rPr>
          <w:rFonts w:ascii="Verdana" w:eastAsia="Times New Roman" w:hAnsi="Verdana" w:cs="Calibri"/>
          <w:sz w:val="21"/>
          <w:szCs w:val="19"/>
          <w:vertAlign w:val="superscript"/>
          <w:lang w:eastAsia="ro-RO"/>
        </w:rPr>
        <w:t>4)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: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-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operatorul economic . . . . . . . . . ., cu sediul în localitatea . . . . . . . . . ., str. . . . . . . . . . . nr. . . . . . . . . . ., ţara . . . . . . . . . ., care desfăşoară, cu respectarea legislaţiei din . . . . . . . . . .</w:t>
      </w:r>
      <w:r w:rsidRPr="00E04448">
        <w:rPr>
          <w:rFonts w:ascii="Verdana" w:eastAsia="Times New Roman" w:hAnsi="Verdana" w:cs="Calibri"/>
          <w:sz w:val="21"/>
          <w:szCs w:val="19"/>
          <w:vertAlign w:val="superscript"/>
          <w:lang w:eastAsia="ro-RO"/>
        </w:rPr>
        <w:t>5)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, activităţi de:</w:t>
      </w:r>
      <w:r w:rsidRPr="00E04448">
        <w:rPr>
          <w:rFonts w:ascii="Verdana" w:eastAsia="Times New Roman" w:hAnsi="Verdana" w:cs="Calibri"/>
          <w:sz w:val="21"/>
          <w:szCs w:val="19"/>
          <w:vertAlign w:val="superscript"/>
          <w:lang w:eastAsia="ro-RO"/>
        </w:rPr>
        <w:t>6)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. . . . . . . . . .;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□ angajatorul are relaţii contractuale cu:</w:t>
      </w:r>
      <w:r w:rsidRPr="00E04448">
        <w:rPr>
          <w:rFonts w:ascii="Verdana" w:eastAsia="Times New Roman" w:hAnsi="Verdana" w:cs="Calibri"/>
          <w:sz w:val="21"/>
          <w:szCs w:val="19"/>
          <w:vertAlign w:val="superscript"/>
          <w:lang w:eastAsia="ro-RO"/>
        </w:rPr>
        <w:t>7)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-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angajatorul . . . . . . . . . ., CUI/CIF . . . . . . . . . ., cu sediul social în localitatea . . . . . . . . . ., str. . . . . . . . . . . nr. . . . . . . . . . ., judeţul . . . . . . . . . ./sectorul . . . . . . . . . ., iar acesta, ca urmare a efectelor generate de conflictul armat din Ucraina, se află în imposibilitatea efectuării de tranzacţii comerciale cu</w:t>
      </w:r>
      <w:r w:rsidRPr="00E04448">
        <w:rPr>
          <w:rFonts w:ascii="Verdana" w:eastAsia="Times New Roman" w:hAnsi="Verdana" w:cs="Calibri"/>
          <w:sz w:val="21"/>
          <w:szCs w:val="19"/>
          <w:vertAlign w:val="superscript"/>
          <w:lang w:eastAsia="ro-RO"/>
        </w:rPr>
        <w:t>4)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: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-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operatorul economic . . . . . . . . . ., cu sediul în localitatea . . . . . . . . . ., str. . . . . . . . . . . nr. . . . . . . . . . ., ţara . . . . . . . . . ., care desfăşoară, cu respectarea legislaţiei din . . . . . . . . . .</w:t>
      </w:r>
      <w:r w:rsidRPr="00E04448">
        <w:rPr>
          <w:rFonts w:ascii="Verdana" w:eastAsia="Times New Roman" w:hAnsi="Verdana" w:cs="Calibri"/>
          <w:sz w:val="21"/>
          <w:szCs w:val="19"/>
          <w:vertAlign w:val="superscript"/>
          <w:lang w:eastAsia="ro-RO"/>
        </w:rPr>
        <w:t>5)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, activităţi de:</w:t>
      </w:r>
      <w:r w:rsidRPr="00E04448">
        <w:rPr>
          <w:rFonts w:ascii="Verdana" w:eastAsia="Times New Roman" w:hAnsi="Verdana" w:cs="Calibri"/>
          <w:sz w:val="21"/>
          <w:szCs w:val="19"/>
          <w:vertAlign w:val="superscript"/>
          <w:lang w:eastAsia="ro-RO"/>
        </w:rPr>
        <w:t>6)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. . . . . . . . . .,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şi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încasările în sumă de.......... lei realizate în luna.......... 2022 pentru care se solicită indemnizaţia prevăzută la </w:t>
      </w:r>
      <w:hyperlink r:id="rId20" w:anchor="p-460001514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art. 1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din Ordonanţa de urgenţă a Guvernului nr. 36/2022 privind stabilirea unor măsuri de protecţie socială a salariaţilor în contextul conflictului armat din Ucraina, precum şi ca urmare a sancţiunilor internaţionale aplicate Federaţiei Ruse şi Belarusului s-au diminuat cu..........% faţă de încasările realizate în luna..........</w:t>
      </w:r>
      <w:r w:rsidRPr="00E04448">
        <w:rPr>
          <w:rFonts w:ascii="Verdana" w:eastAsia="Times New Roman" w:hAnsi="Verdana" w:cs="Calibri"/>
          <w:sz w:val="21"/>
          <w:szCs w:val="19"/>
          <w:vertAlign w:val="superscript"/>
          <w:lang w:eastAsia="ro-RO"/>
        </w:rPr>
        <w:t>8)</w:t>
      </w: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din anul.........., în sumă de.......... lei.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21"/>
          <w:szCs w:val="26"/>
          <w:lang w:eastAsia="ro-RO"/>
        </w:rPr>
      </w:pPr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lastRenderedPageBreak/>
        <w:t>Anexez prezentei balanţa de venituri şi cheltuieli aferentă lunii.......... 2022 pentru care se solicită indemnizaţia prevăzută la </w:t>
      </w:r>
      <w:hyperlink r:id="rId21" w:anchor="p-460001514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21"/>
            <w:szCs w:val="26"/>
            <w:u w:val="none"/>
            <w:lang w:eastAsia="ro-RO"/>
          </w:rPr>
          <w:t>art. 1</w:t>
        </w:r>
      </w:hyperlink>
      <w:r w:rsidRPr="00E04448">
        <w:rPr>
          <w:rFonts w:ascii="Verdana" w:eastAsia="Times New Roman" w:hAnsi="Verdana" w:cs="Calibri"/>
          <w:sz w:val="21"/>
          <w:szCs w:val="26"/>
          <w:lang w:eastAsia="ro-RO"/>
        </w:rPr>
        <w:t> din Ordonanţa de urgenţă a Guvernului nr. 36/2022, precum şi balanţa de venituri şi cheltuieli la care se raportează diminuarea.</w:t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9"/>
        <w:gridCol w:w="6066"/>
      </w:tblGrid>
      <w:tr w:rsidR="00E04448" w:rsidRPr="00E04448" w:rsidTr="00E0444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Pr="00E04448" w:rsidRDefault="00E0444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Pr="00E04448" w:rsidRDefault="00E04448"/>
        </w:tc>
      </w:tr>
      <w:tr w:rsidR="00E04448" w:rsidRPr="00E04448" w:rsidTr="00E04448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Pr="00E04448" w:rsidRDefault="00E04448"/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448" w:rsidRP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 w:rsidRPr="00E04448"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Numele şi prenumele administratorului/reprezentantului legal (în clar) . . . . . . . . . .</w:t>
            </w:r>
            <w:r w:rsidRPr="00E04448"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br/>
              <w:t>Semnătura . . . . . . . . . .</w:t>
            </w:r>
            <w:r w:rsidRPr="00E04448"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br/>
              <w:t>Data . . . . . . . . . .</w:t>
            </w:r>
          </w:p>
        </w:tc>
      </w:tr>
    </w:tbl>
    <w:p w:rsidR="003A714A" w:rsidRDefault="003A714A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b/>
          <w:bCs/>
          <w:sz w:val="16"/>
          <w:szCs w:val="16"/>
          <w:vertAlign w:val="superscript"/>
          <w:lang w:eastAsia="ro-RO"/>
        </w:rPr>
      </w:pP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16"/>
          <w:szCs w:val="1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16"/>
          <w:szCs w:val="16"/>
          <w:vertAlign w:val="superscript"/>
          <w:lang w:eastAsia="ro-RO"/>
        </w:rPr>
        <w:t>1)</w:t>
      </w:r>
      <w:r w:rsidRPr="00E04448">
        <w:rPr>
          <w:rFonts w:ascii="Verdana" w:eastAsia="Times New Roman" w:hAnsi="Verdana" w:cs="Calibri"/>
          <w:sz w:val="16"/>
          <w:szCs w:val="16"/>
          <w:lang w:eastAsia="ro-RO"/>
        </w:rPr>
        <w:t> Informaţiile de mai jos se completează pentru fiecare activitate întreruptă sau redusă temporar ca urmare a faptului că angajatorul este afectat în mod direct sau indirect de imposibilitatea efectuării de tranzacţii comerciale cu operatori economici din Ucraina, Federaţia Rusă şi Belarus, ca urmare a efectelor generate de conflictul armat din Ucraina.</w:t>
      </w:r>
    </w:p>
    <w:p w:rsid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16"/>
          <w:szCs w:val="16"/>
          <w:lang w:eastAsia="ro-RO"/>
        </w:rPr>
      </w:pPr>
      <w:r>
        <w:rPr>
          <w:rFonts w:ascii="Verdana" w:eastAsia="Times New Roman" w:hAnsi="Verdana" w:cs="Calibri"/>
          <w:b/>
          <w:bCs/>
          <w:sz w:val="16"/>
          <w:szCs w:val="16"/>
          <w:vertAlign w:val="superscript"/>
          <w:lang w:eastAsia="ro-RO"/>
        </w:rPr>
        <w:t>2)</w:t>
      </w:r>
      <w:r>
        <w:rPr>
          <w:rFonts w:ascii="Verdana" w:eastAsia="Times New Roman" w:hAnsi="Verdana" w:cs="Calibri"/>
          <w:sz w:val="16"/>
          <w:szCs w:val="16"/>
          <w:lang w:eastAsia="ro-RO"/>
        </w:rPr>
        <w:t> Se completează în mod corespunzător cu "întreruptă" sau "redusă temporar".</w:t>
      </w:r>
    </w:p>
    <w:p w:rsid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16"/>
          <w:szCs w:val="16"/>
          <w:lang w:eastAsia="ro-RO"/>
        </w:rPr>
      </w:pPr>
      <w:r>
        <w:rPr>
          <w:rFonts w:ascii="Verdana" w:eastAsia="Times New Roman" w:hAnsi="Verdana" w:cs="Calibri"/>
          <w:b/>
          <w:bCs/>
          <w:sz w:val="16"/>
          <w:szCs w:val="16"/>
          <w:vertAlign w:val="superscript"/>
          <w:lang w:eastAsia="ro-RO"/>
        </w:rPr>
        <w:t>3)</w:t>
      </w:r>
      <w:r>
        <w:rPr>
          <w:rFonts w:ascii="Verdana" w:eastAsia="Times New Roman" w:hAnsi="Verdana" w:cs="Calibri"/>
          <w:sz w:val="16"/>
          <w:szCs w:val="16"/>
          <w:lang w:eastAsia="ro-RO"/>
        </w:rPr>
        <w:t> Se bifează în mod corespunzător.</w:t>
      </w:r>
    </w:p>
    <w:p w:rsid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16"/>
          <w:szCs w:val="16"/>
          <w:lang w:eastAsia="ro-RO"/>
        </w:rPr>
      </w:pPr>
      <w:r>
        <w:rPr>
          <w:rFonts w:ascii="Verdana" w:eastAsia="Times New Roman" w:hAnsi="Verdana" w:cs="Calibri"/>
          <w:b/>
          <w:bCs/>
          <w:sz w:val="16"/>
          <w:szCs w:val="16"/>
          <w:vertAlign w:val="superscript"/>
          <w:lang w:eastAsia="ro-RO"/>
        </w:rPr>
        <w:t>4)</w:t>
      </w:r>
      <w:r>
        <w:rPr>
          <w:rFonts w:ascii="Verdana" w:eastAsia="Times New Roman" w:hAnsi="Verdana" w:cs="Calibri"/>
          <w:sz w:val="16"/>
          <w:szCs w:val="16"/>
          <w:lang w:eastAsia="ro-RO"/>
        </w:rPr>
        <w:t> Informaţiile de mai jos se completează pentru fiecare operator economic din Ucraina, Federaţia Rusă şi Belarus, în parte.</w:t>
      </w:r>
    </w:p>
    <w:p w:rsid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16"/>
          <w:szCs w:val="16"/>
          <w:lang w:eastAsia="ro-RO"/>
        </w:rPr>
      </w:pPr>
      <w:r>
        <w:rPr>
          <w:rFonts w:ascii="Verdana" w:eastAsia="Times New Roman" w:hAnsi="Verdana" w:cs="Calibri"/>
          <w:b/>
          <w:bCs/>
          <w:sz w:val="16"/>
          <w:szCs w:val="16"/>
          <w:vertAlign w:val="superscript"/>
          <w:lang w:eastAsia="ro-RO"/>
        </w:rPr>
        <w:t>5)</w:t>
      </w:r>
      <w:r>
        <w:rPr>
          <w:rFonts w:ascii="Verdana" w:eastAsia="Times New Roman" w:hAnsi="Verdana" w:cs="Calibri"/>
          <w:sz w:val="16"/>
          <w:szCs w:val="16"/>
          <w:lang w:eastAsia="ro-RO"/>
        </w:rPr>
        <w:t> Se completează în mod corespunzător cu: Ucraina, Federaţia Rusă sau Belarus.</w:t>
      </w:r>
    </w:p>
    <w:p w:rsid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16"/>
          <w:szCs w:val="16"/>
          <w:lang w:eastAsia="ro-RO"/>
        </w:rPr>
      </w:pPr>
      <w:r>
        <w:rPr>
          <w:rFonts w:ascii="Verdana" w:eastAsia="Times New Roman" w:hAnsi="Verdana" w:cs="Calibri"/>
          <w:b/>
          <w:bCs/>
          <w:sz w:val="16"/>
          <w:szCs w:val="16"/>
          <w:vertAlign w:val="superscript"/>
          <w:lang w:eastAsia="ro-RO"/>
        </w:rPr>
        <w:t>6)</w:t>
      </w:r>
      <w:r>
        <w:rPr>
          <w:rFonts w:ascii="Verdana" w:eastAsia="Times New Roman" w:hAnsi="Verdana" w:cs="Calibri"/>
          <w:sz w:val="16"/>
          <w:szCs w:val="16"/>
          <w:lang w:eastAsia="ro-RO"/>
        </w:rPr>
        <w:t> Se completează în mod corespunzător cu: fabricare, import, export, depozitare, transport sau comercializare de produse ori părţi din acestea sau prestare de servicii.</w:t>
      </w:r>
    </w:p>
    <w:p w:rsid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16"/>
          <w:szCs w:val="16"/>
          <w:lang w:eastAsia="ro-RO"/>
        </w:rPr>
      </w:pPr>
      <w:r>
        <w:rPr>
          <w:rFonts w:ascii="Verdana" w:eastAsia="Times New Roman" w:hAnsi="Verdana" w:cs="Calibri"/>
          <w:b/>
          <w:bCs/>
          <w:sz w:val="16"/>
          <w:szCs w:val="16"/>
          <w:vertAlign w:val="superscript"/>
          <w:lang w:eastAsia="ro-RO"/>
        </w:rPr>
        <w:t>7)</w:t>
      </w:r>
      <w:r>
        <w:rPr>
          <w:rFonts w:ascii="Verdana" w:eastAsia="Times New Roman" w:hAnsi="Verdana" w:cs="Calibri"/>
          <w:sz w:val="16"/>
          <w:szCs w:val="16"/>
          <w:lang w:eastAsia="ro-RO"/>
        </w:rPr>
        <w:t> Informaţiile de mai jos se completează pentru fiecare angajator în parte.</w:t>
      </w:r>
    </w:p>
    <w:p w:rsid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16"/>
          <w:szCs w:val="16"/>
          <w:lang w:eastAsia="ro-RO"/>
        </w:rPr>
      </w:pPr>
      <w:r>
        <w:rPr>
          <w:rFonts w:ascii="Verdana" w:eastAsia="Times New Roman" w:hAnsi="Verdana" w:cs="Calibri"/>
          <w:b/>
          <w:bCs/>
          <w:sz w:val="16"/>
          <w:szCs w:val="16"/>
          <w:vertAlign w:val="superscript"/>
          <w:lang w:eastAsia="ro-RO"/>
        </w:rPr>
        <w:t>8)</w:t>
      </w:r>
      <w:r>
        <w:rPr>
          <w:rFonts w:ascii="Verdana" w:eastAsia="Times New Roman" w:hAnsi="Verdana" w:cs="Calibri"/>
          <w:sz w:val="16"/>
          <w:szCs w:val="16"/>
          <w:lang w:eastAsia="ro-RO"/>
        </w:rPr>
        <w:t> Luna ianuarie 2022 sau luna similară a anului 2021.</w:t>
      </w:r>
    </w:p>
    <w:p w:rsidR="003A714A" w:rsidRDefault="003A714A">
      <w:pPr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  <w:r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br w:type="page"/>
      </w:r>
    </w:p>
    <w:p w:rsidR="00E04448" w:rsidRDefault="00E04448" w:rsidP="00E04448">
      <w:pPr>
        <w:shd w:val="clear" w:color="auto" w:fill="FFFFFF"/>
        <w:spacing w:after="150" w:line="360" w:lineRule="auto"/>
        <w:jc w:val="right"/>
        <w:outlineLvl w:val="3"/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  <w:r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lastRenderedPageBreak/>
        <w:t>ANEXA Nr. 3</w:t>
      </w:r>
    </w:p>
    <w:p w:rsidR="00E04448" w:rsidRDefault="00E04448" w:rsidP="00E04448">
      <w:pPr>
        <w:shd w:val="clear" w:color="auto" w:fill="FFFFFF"/>
        <w:spacing w:after="150" w:line="360" w:lineRule="auto"/>
        <w:jc w:val="center"/>
        <w:outlineLvl w:val="3"/>
        <w:rPr>
          <w:rFonts w:ascii="Verdana" w:eastAsia="Times New Roman" w:hAnsi="Verdana" w:cs="Calibri"/>
          <w:b/>
          <w:bCs/>
          <w:sz w:val="21"/>
          <w:szCs w:val="26"/>
          <w:lang w:eastAsia="ro-RO"/>
        </w:rPr>
      </w:pPr>
      <w:r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t>LISTA</w:t>
      </w:r>
      <w:r>
        <w:rPr>
          <w:rFonts w:ascii="Verdana" w:eastAsia="Times New Roman" w:hAnsi="Verdana" w:cs="Calibri"/>
          <w:b/>
          <w:bCs/>
          <w:sz w:val="21"/>
          <w:szCs w:val="26"/>
          <w:lang w:eastAsia="ro-RO"/>
        </w:rPr>
        <w:br/>
        <w:t>persoanelor care urmează să beneficieze de indemnizaţie, cărora li s-a suspendat contractul individual de muncă din iniţiativa angajatorului, în temeiul art. 52 alin. (1) lit. c) din Legea nr. 53/2003 - Codul muncii, republicată, cu modificările şi completările ulterioare, pentru care se solicită acordarea sumelor necesare plăţii indemnizaţiei prevăzute la art. 1 din Ordonanţa de urgenţă a Guvernului nr. 36/2022 privind stabilirea unor măsuri de protecţie socială a salariaţilor în contextul conflictului armat din Ucraina, precum şi ca urmare a sancţiunilor internaţionale aplicate Federaţiei Ruse şi Belarusului</w:t>
      </w: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14"/>
        <w:gridCol w:w="379"/>
        <w:gridCol w:w="1204"/>
        <w:gridCol w:w="446"/>
        <w:gridCol w:w="931"/>
        <w:gridCol w:w="1425"/>
        <w:gridCol w:w="1570"/>
        <w:gridCol w:w="1316"/>
        <w:gridCol w:w="1701"/>
        <w:gridCol w:w="1409"/>
      </w:tblGrid>
      <w:tr w:rsidR="00E04448" w:rsidTr="00E0444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/>
        </w:tc>
      </w:tr>
      <w:tr w:rsidR="00E04448" w:rsidTr="00E04448">
        <w:trPr>
          <w:trHeight w:val="22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Numele şi prenumele salariatului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CNP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Nivel de educaţie (ISCED)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Reşedinţa (urban/rural)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Salariul de bază corespunzător locului de muncă ocupat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Data suspendării contractului individual de muncă*)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Numărul de zile aferente suspendării contractului individual de muncă în perioada pentru care se solicită plata contravalorii indemnizaţiei prevăzute la art. 1 din Ordonanţa de urgenţă a Guvernului nr. 36/2022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Indemnizaţia solicitată**)</w:t>
            </w:r>
          </w:p>
        </w:tc>
      </w:tr>
      <w:tr w:rsidR="00E04448" w:rsidTr="00E0444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</w:tr>
      <w:tr w:rsidR="00E04448" w:rsidTr="00E0444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</w:tr>
      <w:tr w:rsidR="00E04448" w:rsidTr="00E0444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</w:tr>
      <w:tr w:rsidR="00E04448" w:rsidTr="00E04448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Default="00E04448">
            <w:pPr>
              <w:spacing w:after="0"/>
            </w:pPr>
          </w:p>
        </w:tc>
      </w:tr>
    </w:tbl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16"/>
          <w:szCs w:val="1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16"/>
          <w:szCs w:val="16"/>
          <w:lang w:eastAsia="ro-RO"/>
        </w:rPr>
        <w:t>*)</w:t>
      </w:r>
      <w:r w:rsidRPr="00E04448">
        <w:rPr>
          <w:rFonts w:ascii="Verdana" w:eastAsia="Times New Roman" w:hAnsi="Verdana" w:cs="Calibri"/>
          <w:sz w:val="16"/>
          <w:szCs w:val="16"/>
          <w:lang w:eastAsia="ro-RO"/>
        </w:rPr>
        <w:t> Conform Registrului general de evidenţă a salariaţilor.</w:t>
      </w:r>
    </w:p>
    <w:p w:rsidR="00E04448" w:rsidRPr="00E04448" w:rsidRDefault="00E04448" w:rsidP="00E0444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Calibri"/>
          <w:sz w:val="16"/>
          <w:szCs w:val="16"/>
          <w:lang w:eastAsia="ro-RO"/>
        </w:rPr>
      </w:pPr>
      <w:r w:rsidRPr="00E04448">
        <w:rPr>
          <w:rFonts w:ascii="Verdana" w:eastAsia="Times New Roman" w:hAnsi="Verdana" w:cs="Calibri"/>
          <w:b/>
          <w:bCs/>
          <w:sz w:val="16"/>
          <w:szCs w:val="16"/>
          <w:lang w:eastAsia="ro-RO"/>
        </w:rPr>
        <w:lastRenderedPageBreak/>
        <w:t>**)</w:t>
      </w:r>
      <w:r w:rsidRPr="00E04448">
        <w:rPr>
          <w:rFonts w:ascii="Verdana" w:eastAsia="Times New Roman" w:hAnsi="Verdana" w:cs="Calibri"/>
          <w:sz w:val="16"/>
          <w:szCs w:val="16"/>
          <w:lang w:eastAsia="ro-RO"/>
        </w:rPr>
        <w:t> 75% din salariul de bază corespunzător locului de muncă ocupat, dar nu mai mult de 75% din câştigul salarial mediu brut prevăzut de Legea bugetului asigurărilor sociale de stat pe anul 2022 </w:t>
      </w:r>
      <w:hyperlink r:id="rId22" w:tgtFrame="_blank" w:history="1">
        <w:r w:rsidRPr="00E04448">
          <w:rPr>
            <w:rStyle w:val="Hyperlink"/>
            <w:rFonts w:ascii="Verdana" w:eastAsia="Times New Roman" w:hAnsi="Verdana" w:cs="Calibri"/>
            <w:color w:val="auto"/>
            <w:sz w:val="16"/>
            <w:szCs w:val="16"/>
            <w:lang w:eastAsia="ro-RO"/>
          </w:rPr>
          <w:t>nr. 318/2021</w:t>
        </w:r>
      </w:hyperlink>
      <w:r w:rsidRPr="00E04448">
        <w:rPr>
          <w:rFonts w:ascii="Verdana" w:eastAsia="Times New Roman" w:hAnsi="Verdana" w:cs="Calibri"/>
          <w:sz w:val="16"/>
          <w:szCs w:val="16"/>
          <w:lang w:eastAsia="ro-RO"/>
        </w:rPr>
        <w:t>, calculată proporţional cu numărul de zile în care activitatea a fost întreruptă sau redusă temporar.</w:t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9"/>
        <w:gridCol w:w="6066"/>
      </w:tblGrid>
      <w:tr w:rsidR="00E04448" w:rsidRPr="00E04448" w:rsidTr="00E0444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Pr="00E04448" w:rsidRDefault="00E0444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Pr="00E04448" w:rsidRDefault="00E04448"/>
        </w:tc>
      </w:tr>
      <w:tr w:rsidR="00E04448" w:rsidRPr="00E04448" w:rsidTr="00E04448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448" w:rsidRPr="00E04448" w:rsidRDefault="00E04448"/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448" w:rsidRPr="00E04448" w:rsidRDefault="00E0444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</w:pPr>
            <w:r w:rsidRPr="00E04448"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t>Numele şi prenumele administratorului/reprezentantului legal (în clar) . . . . . . . . . .</w:t>
            </w:r>
            <w:r w:rsidRPr="00E04448"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br/>
              <w:t>Semnătura . . . . . . . . . .</w:t>
            </w:r>
            <w:r w:rsidRPr="00E04448">
              <w:rPr>
                <w:rFonts w:ascii="Verdana" w:eastAsia="Times New Roman" w:hAnsi="Verdana" w:cs="Times New Roman"/>
                <w:sz w:val="21"/>
                <w:szCs w:val="21"/>
                <w:lang w:eastAsia="ro-RO"/>
              </w:rPr>
              <w:br/>
              <w:t>Data . . . . . . . . . .</w:t>
            </w:r>
          </w:p>
        </w:tc>
      </w:tr>
    </w:tbl>
    <w:p w:rsidR="00E04448" w:rsidRDefault="00E04448" w:rsidP="00E04448">
      <w:pPr>
        <w:spacing w:line="360" w:lineRule="auto"/>
        <w:rPr>
          <w:rFonts w:ascii="Verdana" w:hAnsi="Verdana"/>
          <w:sz w:val="21"/>
        </w:rPr>
      </w:pPr>
    </w:p>
    <w:p w:rsidR="0055313B" w:rsidRDefault="0055313B" w:rsidP="0055313B">
      <w:pPr>
        <w:spacing w:line="360" w:lineRule="auto"/>
        <w:rPr>
          <w:rFonts w:ascii="Verdana" w:hAnsi="Verdana"/>
          <w:sz w:val="21"/>
        </w:rPr>
      </w:pPr>
    </w:p>
    <w:p w:rsidR="0055313B" w:rsidRPr="00CB0B13" w:rsidRDefault="0055313B" w:rsidP="00CB0B13">
      <w:pPr>
        <w:spacing w:line="360" w:lineRule="auto"/>
        <w:rPr>
          <w:rFonts w:ascii="Verdana" w:hAnsi="Verdana"/>
          <w:sz w:val="21"/>
        </w:rPr>
      </w:pPr>
    </w:p>
    <w:sectPr w:rsidR="0055313B" w:rsidRPr="00CB0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10D"/>
    <w:multiLevelType w:val="hybridMultilevel"/>
    <w:tmpl w:val="82A0A7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601F"/>
    <w:multiLevelType w:val="hybridMultilevel"/>
    <w:tmpl w:val="D60C3E3E"/>
    <w:lvl w:ilvl="0" w:tplc="B2001C7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444444"/>
        <w:u w:val="none"/>
        <w:effect w:val="none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7382"/>
    <w:multiLevelType w:val="hybridMultilevel"/>
    <w:tmpl w:val="58064AEC"/>
    <w:lvl w:ilvl="0" w:tplc="886AE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500C"/>
    <w:multiLevelType w:val="hybridMultilevel"/>
    <w:tmpl w:val="60540F94"/>
    <w:lvl w:ilvl="0" w:tplc="ABB6F32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444444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07AB3"/>
    <w:multiLevelType w:val="hybridMultilevel"/>
    <w:tmpl w:val="75E08ECC"/>
    <w:lvl w:ilvl="0" w:tplc="51E0561A">
      <w:start w:val="1"/>
      <w:numFmt w:val="upperRoman"/>
      <w:lvlText w:val="%1."/>
      <w:lvlJc w:val="left"/>
      <w:pPr>
        <w:ind w:left="862" w:hanging="72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5F6349"/>
    <w:multiLevelType w:val="hybridMultilevel"/>
    <w:tmpl w:val="F82AE456"/>
    <w:lvl w:ilvl="0" w:tplc="C7EC3E8C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31AAA"/>
    <w:multiLevelType w:val="hybridMultilevel"/>
    <w:tmpl w:val="4992BF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CE"/>
    <w:rsid w:val="002462E6"/>
    <w:rsid w:val="003A714A"/>
    <w:rsid w:val="0055313B"/>
    <w:rsid w:val="005D7341"/>
    <w:rsid w:val="00611697"/>
    <w:rsid w:val="009079CE"/>
    <w:rsid w:val="00CB0B13"/>
    <w:rsid w:val="00E04448"/>
    <w:rsid w:val="00E94136"/>
    <w:rsid w:val="00EB6D1A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41"/>
    <w:pPr>
      <w:ind w:left="720"/>
      <w:contextualSpacing/>
    </w:pPr>
  </w:style>
  <w:style w:type="paragraph" w:customStyle="1" w:styleId="al">
    <w:name w:val="a_l"/>
    <w:basedOn w:val="Normal"/>
    <w:rsid w:val="005D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D73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41"/>
    <w:pPr>
      <w:ind w:left="720"/>
      <w:contextualSpacing/>
    </w:pPr>
  </w:style>
  <w:style w:type="paragraph" w:customStyle="1" w:styleId="al">
    <w:name w:val="a_l"/>
    <w:basedOn w:val="Normal"/>
    <w:rsid w:val="005D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D73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ytamzygm2tg/ordonanta-de-urgenta-nr-36-2022-privind-stabilirea-unor-masuri-de-protectie-sociala-a-salariatilor-in-contextul-conflictului-armat-din-ucraina-precum-si-ca-urmare-a-sanctiunilor-internationale-aplicat?pid=460001514&amp;d=2022-04-28" TargetMode="External"/><Relationship Id="rId13" Type="http://schemas.openxmlformats.org/officeDocument/2006/relationships/hyperlink" Target="https://lege5.ro/App/Document/ha3tgnjw/legea-nr-273-2006-privind-finantele-publice-locale?pid=29475564&amp;d=2022-04-28" TargetMode="External"/><Relationship Id="rId18" Type="http://schemas.openxmlformats.org/officeDocument/2006/relationships/hyperlink" Target="https://lege5.ro/App/Document/gi2tknjxgq/codul-muncii-din-2003?pid=56618199&amp;d=2022-04-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ge5.ro/App/Document/geytamzygm2tg/ordonanta-de-urgenta-nr-36-2022-privind-stabilirea-unor-masuri-de-protectie-sociala-a-salariatilor-in-contextul-conflictului-armat-din-ucraina-precum-si-ca-urmare-a-sanctiunilor-internationale-aplicat?pid=460001514&amp;d=2022-04-28" TargetMode="External"/><Relationship Id="rId7" Type="http://schemas.openxmlformats.org/officeDocument/2006/relationships/hyperlink" Target="https://lege5.ro/App/Document/geytamzygm2tg/ordonanta-de-urgenta-nr-36-2022-privind-stabilirea-unor-masuri-de-protectie-sociala-a-salariatilor-in-contextul-conflictului-armat-din-ucraina-precum-si-ca-urmare-a-sanctiunilor-internationale-aplicat?pid=460001519&amp;d=2022-04-28" TargetMode="External"/><Relationship Id="rId12" Type="http://schemas.openxmlformats.org/officeDocument/2006/relationships/hyperlink" Target="https://lege5.ro/App/Document/geydsnjzgu/legea-nr-500-2002-privind-finantele-publice?pid=65690193&amp;d=2022-04-28" TargetMode="External"/><Relationship Id="rId17" Type="http://schemas.openxmlformats.org/officeDocument/2006/relationships/hyperlink" Target="https://lege5.ro/App/Document/gezdmnrzgi/codul-penal-din-2009?d=2022-04-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e5.ro/App/Document/gezdmobyge/legea-nr-286-2009-privind-codul-penal?d=2022-04-28" TargetMode="External"/><Relationship Id="rId20" Type="http://schemas.openxmlformats.org/officeDocument/2006/relationships/hyperlink" Target="https://lege5.ro/App/Document/geytamzygm2tg/ordonanta-de-urgenta-nr-36-2022-privind-stabilirea-unor-masuri-de-protectie-sociala-a-salariatilor-in-contextul-conflictului-armat-din-ucraina-precum-si-ca-urmare-a-sanctiunilor-internationale-aplicat?pid=460001514&amp;d=2022-04-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e5.ro/App/Document/geytamzygm2tg/ordonanta-de-urgenta-nr-36-2022-privind-stabilirea-unor-masuri-de-protectie-sociala-a-salariatilor-in-contextul-conflictului-armat-din-ucraina-precum-si-ca-urmare-a-sanctiunilor-internationale-aplicat?pid=460001518&amp;d=2022-04-28" TargetMode="External"/><Relationship Id="rId11" Type="http://schemas.openxmlformats.org/officeDocument/2006/relationships/hyperlink" Target="https://lege5.ro/App/Document/gezdmnrzgi/codul-penal-din-2009?d=2022-04-2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ge5.ro/App/Document/gezdmnrzgi/codul-penal-din-2009?pid=312709239&amp;d=2022-04-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e5.ro/App/Document/gezdmobyge/legea-nr-286-2009-privind-codul-penal?d=2022-04-28" TargetMode="External"/><Relationship Id="rId19" Type="http://schemas.openxmlformats.org/officeDocument/2006/relationships/hyperlink" Target="https://lege5.ro/App/Document/gi2tknjxgq/codul-muncii-din-2003?d=2022-04-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App/Document/gezdmnrzgi/codul-penal-din-2009?pid=312709239&amp;d=2022-04-28" TargetMode="External"/><Relationship Id="rId14" Type="http://schemas.openxmlformats.org/officeDocument/2006/relationships/hyperlink" Target="https://lege5.ro/App/Document/geytamzygm2tg/ordonanta-de-urgenta-nr-36-2022-privind-stabilirea-unor-masuri-de-protectie-sociala-a-salariatilor-in-contextul-conflictului-armat-din-ucraina-precum-si-ca-urmare-a-sanctiunilor-internationale-aplicat?pid=460001517&amp;d=2022-04-28" TargetMode="External"/><Relationship Id="rId22" Type="http://schemas.openxmlformats.org/officeDocument/2006/relationships/hyperlink" Target="https://lege5.ro/App/Document/geydinrrgm3da/legea-nr-318-2021-a-bugetului-asigurarilor-sociale-de-stat-pe-anul-2022?d=2022-04-2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Simion</cp:lastModifiedBy>
  <cp:revision>2</cp:revision>
  <dcterms:created xsi:type="dcterms:W3CDTF">2022-04-29T09:58:00Z</dcterms:created>
  <dcterms:modified xsi:type="dcterms:W3CDTF">2022-04-29T09:58:00Z</dcterms:modified>
</cp:coreProperties>
</file>